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485"/>
      </w:tblGrid>
      <w:tr w:rsidR="008918B7" w:rsidRPr="002B6734" w:rsidTr="00975E93">
        <w:trPr>
          <w:trHeight w:val="69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B7" w:rsidRPr="00D03562" w:rsidRDefault="008918B7" w:rsidP="00975E93">
            <w:pPr>
              <w:pStyle w:val="TextA"/>
              <w:suppressAutoHyphens/>
              <w:jc w:val="both"/>
              <w:rPr>
                <w:rFonts w:eastAsia="Arial Unicode MS"/>
              </w:rPr>
            </w:pPr>
            <w:r w:rsidRPr="00D03562">
              <w:rPr>
                <w:rFonts w:eastAsia="Arial Unicode MS"/>
                <w:noProof/>
                <w:lang w:val="fr-LU" w:eastAsia="fr-LU"/>
              </w:rPr>
              <w:drawing>
                <wp:inline distT="0" distB="0" distL="0" distR="0" wp14:anchorId="08263CF9" wp14:editId="3DFDD10F">
                  <wp:extent cx="1399500" cy="360000"/>
                  <wp:effectExtent l="0" t="0" r="0" b="2540"/>
                  <wp:docPr id="107374182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00" cy="36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8B7" w:rsidRPr="00D03562" w:rsidRDefault="008918B7" w:rsidP="00975E9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de-DE" w:eastAsia="de-DE"/>
              </w:rPr>
            </w:pPr>
          </w:p>
        </w:tc>
      </w:tr>
    </w:tbl>
    <w:p w:rsidR="008918B7" w:rsidRDefault="008918B7" w:rsidP="008918B7">
      <w:pPr>
        <w:pStyle w:val="BodyText"/>
        <w:suppressAutoHyphens/>
        <w:jc w:val="both"/>
        <w:rPr>
          <w:rFonts w:hAnsi="Arial" w:cs="Arial"/>
        </w:rPr>
      </w:pPr>
    </w:p>
    <w:p w:rsidR="008918B7" w:rsidRPr="003C25FD" w:rsidRDefault="008918B7" w:rsidP="008918B7">
      <w:pPr>
        <w:pStyle w:val="BodyText"/>
        <w:suppressAutoHyphens/>
        <w:jc w:val="both"/>
        <w:rPr>
          <w:rFonts w:hAnsi="Arial" w:cs="Arial"/>
        </w:rPr>
      </w:pPr>
      <w:r w:rsidRPr="003C25FD">
        <w:rPr>
          <w:rFonts w:hAnsi="Arial" w:cs="Arial"/>
        </w:rPr>
        <w:t xml:space="preserve">Press </w:t>
      </w:r>
      <w:r w:rsidR="00690DC0">
        <w:rPr>
          <w:rFonts w:hAnsi="Arial" w:cs="Arial"/>
        </w:rPr>
        <w:t>r</w:t>
      </w:r>
      <w:r w:rsidR="00690DC0" w:rsidRPr="003C25FD">
        <w:rPr>
          <w:rFonts w:hAnsi="Arial" w:cs="Arial"/>
        </w:rPr>
        <w:t>elease</w:t>
      </w:r>
    </w:p>
    <w:p w:rsidR="008918B7" w:rsidRDefault="008918B7" w:rsidP="008918B7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/>
        </w:rPr>
      </w:pPr>
      <w:r w:rsidRPr="003C25FD">
        <w:rPr>
          <w:rFonts w:ascii="Arial" w:hAnsi="Arial" w:cs="Arial"/>
          <w:b/>
          <w:bCs/>
          <w:color w:val="000000"/>
        </w:rPr>
        <w:t xml:space="preserve">Dentons advises </w:t>
      </w:r>
      <w:proofErr w:type="spellStart"/>
      <w:r>
        <w:rPr>
          <w:rFonts w:ascii="Arial" w:hAnsi="Arial" w:cs="Arial"/>
          <w:b/>
          <w:bCs/>
          <w:color w:val="000000"/>
        </w:rPr>
        <w:t>Tuspark</w:t>
      </w:r>
      <w:proofErr w:type="spellEnd"/>
      <w:r>
        <w:rPr>
          <w:rFonts w:ascii="Arial" w:hAnsi="Arial" w:cs="Arial"/>
          <w:b/>
          <w:bCs/>
          <w:color w:val="000000"/>
        </w:rPr>
        <w:t xml:space="preserve"> on the China-Luxembourg Innovation Investment fund</w:t>
      </w:r>
    </w:p>
    <w:p w:rsidR="006865A4" w:rsidRPr="006865A4" w:rsidRDefault="008918B7" w:rsidP="006865A4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 w:val="20"/>
        </w:rPr>
      </w:pPr>
      <w:r w:rsidRPr="004E7A5E">
        <w:rPr>
          <w:rFonts w:ascii="Arial" w:hAnsi="Arial" w:cs="Arial"/>
          <w:b/>
          <w:bCs/>
          <w:color w:val="000000"/>
          <w:sz w:val="20"/>
        </w:rPr>
        <w:t xml:space="preserve">April 26, 2019 – </w:t>
      </w:r>
      <w:r w:rsidR="006865A4" w:rsidRPr="006865A4">
        <w:rPr>
          <w:rFonts w:ascii="Arial" w:hAnsi="Arial" w:cs="Arial"/>
          <w:bCs/>
          <w:color w:val="000000"/>
          <w:sz w:val="20"/>
        </w:rPr>
        <w:t xml:space="preserve">Dentons has successfully advised TUS Science and Technology Service Group (TUS S&amp;T) </w:t>
      </w:r>
      <w:r w:rsidR="006865A4">
        <w:rPr>
          <w:rFonts w:ascii="Arial" w:hAnsi="Arial" w:cs="Arial"/>
          <w:bCs/>
          <w:color w:val="000000"/>
          <w:sz w:val="20"/>
        </w:rPr>
        <w:t xml:space="preserve">on the </w:t>
      </w:r>
      <w:r w:rsidR="006865A4" w:rsidRPr="006865A4">
        <w:rPr>
          <w:rFonts w:ascii="Arial" w:hAnsi="Arial" w:cs="Arial"/>
          <w:bCs/>
          <w:color w:val="000000"/>
          <w:sz w:val="20"/>
        </w:rPr>
        <w:t xml:space="preserve">launch of its Innovation Investment Fund (CLIIF) – the first Chinese equity fund domiciled in Luxembourg to support innovative and fast growing businesses. </w:t>
      </w:r>
    </w:p>
    <w:p w:rsidR="006865A4" w:rsidRPr="006865A4" w:rsidRDefault="006865A4" w:rsidP="006865A4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 w:val="20"/>
        </w:rPr>
      </w:pPr>
      <w:r w:rsidRPr="006865A4">
        <w:rPr>
          <w:rFonts w:ascii="Arial" w:hAnsi="Arial" w:cs="Arial"/>
          <w:bCs/>
          <w:color w:val="000000"/>
          <w:sz w:val="20"/>
        </w:rPr>
        <w:t xml:space="preserve">CLIIF was launched on April 26, 2019. A signing ceremony took place at </w:t>
      </w:r>
      <w:proofErr w:type="spellStart"/>
      <w:r w:rsidRPr="006865A4">
        <w:rPr>
          <w:rFonts w:ascii="Arial" w:hAnsi="Arial" w:cs="Arial"/>
          <w:bCs/>
          <w:color w:val="000000"/>
          <w:sz w:val="20"/>
        </w:rPr>
        <w:t>Banque</w:t>
      </w:r>
      <w:proofErr w:type="spellEnd"/>
      <w:r w:rsidRPr="006865A4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6865A4">
        <w:rPr>
          <w:rFonts w:ascii="Arial" w:hAnsi="Arial" w:cs="Arial"/>
          <w:bCs/>
          <w:color w:val="000000"/>
          <w:sz w:val="20"/>
        </w:rPr>
        <w:t>Internationale</w:t>
      </w:r>
      <w:proofErr w:type="spellEnd"/>
      <w:r w:rsidRPr="006865A4">
        <w:rPr>
          <w:rFonts w:ascii="Arial" w:hAnsi="Arial" w:cs="Arial"/>
          <w:bCs/>
          <w:color w:val="000000"/>
          <w:sz w:val="20"/>
        </w:rPr>
        <w:t xml:space="preserve"> de Luxembourg (BIL) headquarter</w:t>
      </w:r>
      <w:r w:rsidR="00690DC0">
        <w:rPr>
          <w:rFonts w:ascii="Arial" w:hAnsi="Arial" w:cs="Arial"/>
          <w:bCs/>
          <w:color w:val="000000"/>
          <w:sz w:val="20"/>
        </w:rPr>
        <w:t>s</w:t>
      </w:r>
      <w:r w:rsidRPr="006865A4">
        <w:rPr>
          <w:rFonts w:ascii="Arial" w:hAnsi="Arial" w:cs="Arial"/>
          <w:bCs/>
          <w:color w:val="000000"/>
          <w:sz w:val="20"/>
        </w:rPr>
        <w:t xml:space="preserve">, witnessed by HE Mr. </w:t>
      </w:r>
      <w:proofErr w:type="spellStart"/>
      <w:r w:rsidRPr="006865A4">
        <w:rPr>
          <w:rFonts w:ascii="Arial" w:hAnsi="Arial" w:cs="Arial"/>
          <w:bCs/>
          <w:color w:val="000000"/>
          <w:sz w:val="20"/>
        </w:rPr>
        <w:t>Changqing</w:t>
      </w:r>
      <w:proofErr w:type="spellEnd"/>
      <w:r w:rsidRPr="006865A4">
        <w:rPr>
          <w:rFonts w:ascii="Arial" w:hAnsi="Arial" w:cs="Arial"/>
          <w:bCs/>
          <w:color w:val="000000"/>
          <w:sz w:val="20"/>
        </w:rPr>
        <w:t xml:space="preserve"> Huang, Ambassador of the PRC in Luxembourg and Mr. Marcel </w:t>
      </w:r>
      <w:proofErr w:type="spellStart"/>
      <w:r w:rsidRPr="006865A4">
        <w:rPr>
          <w:rFonts w:ascii="Arial" w:hAnsi="Arial" w:cs="Arial"/>
          <w:bCs/>
          <w:color w:val="000000"/>
          <w:sz w:val="20"/>
        </w:rPr>
        <w:t>Leyers</w:t>
      </w:r>
      <w:proofErr w:type="spellEnd"/>
      <w:r w:rsidRPr="006865A4">
        <w:rPr>
          <w:rFonts w:ascii="Arial" w:hAnsi="Arial" w:cs="Arial"/>
          <w:bCs/>
          <w:color w:val="000000"/>
          <w:sz w:val="20"/>
        </w:rPr>
        <w:t xml:space="preserve">, incoming CEO of BIL Group, and more than 50 high level representatives from Luxembourg government, Luxembourg </w:t>
      </w:r>
      <w:r w:rsidR="00690DC0">
        <w:rPr>
          <w:rFonts w:ascii="Arial" w:hAnsi="Arial" w:cs="Arial"/>
          <w:bCs/>
          <w:color w:val="000000"/>
          <w:sz w:val="20"/>
        </w:rPr>
        <w:t>f</w:t>
      </w:r>
      <w:r w:rsidR="00690DC0" w:rsidRPr="006865A4">
        <w:rPr>
          <w:rFonts w:ascii="Arial" w:hAnsi="Arial" w:cs="Arial"/>
          <w:bCs/>
          <w:color w:val="000000"/>
          <w:sz w:val="20"/>
        </w:rPr>
        <w:t xml:space="preserve">or </w:t>
      </w:r>
      <w:r w:rsidRPr="006865A4">
        <w:rPr>
          <w:rFonts w:ascii="Arial" w:hAnsi="Arial" w:cs="Arial"/>
          <w:bCs/>
          <w:color w:val="000000"/>
          <w:sz w:val="20"/>
        </w:rPr>
        <w:t>Finance, Luxembourg Stock Exchange, European branches of Chinese banks and Chinese enterprises, and related Luxembourg financial industries.</w:t>
      </w:r>
    </w:p>
    <w:p w:rsidR="006865A4" w:rsidRPr="006865A4" w:rsidRDefault="006865A4" w:rsidP="006865A4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 w:val="20"/>
        </w:rPr>
      </w:pPr>
      <w:r w:rsidRPr="006865A4">
        <w:rPr>
          <w:rFonts w:ascii="Arial" w:hAnsi="Arial" w:cs="Arial"/>
          <w:bCs/>
          <w:color w:val="000000"/>
          <w:sz w:val="20"/>
        </w:rPr>
        <w:t xml:space="preserve">In 2018, Tus Science &amp; Technology Services Group, a subsidiary of Tus-Holdings, Zhengzhou Airport Economy Zone, and </w:t>
      </w:r>
      <w:proofErr w:type="spellStart"/>
      <w:r w:rsidRPr="006865A4">
        <w:rPr>
          <w:rFonts w:ascii="Arial" w:hAnsi="Arial" w:cs="Arial"/>
          <w:bCs/>
          <w:color w:val="000000"/>
          <w:sz w:val="20"/>
        </w:rPr>
        <w:t>Zhongyuan</w:t>
      </w:r>
      <w:proofErr w:type="spellEnd"/>
      <w:r w:rsidRPr="006865A4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6865A4">
        <w:rPr>
          <w:rFonts w:ascii="Arial" w:hAnsi="Arial" w:cs="Arial"/>
          <w:bCs/>
          <w:color w:val="000000"/>
          <w:sz w:val="20"/>
        </w:rPr>
        <w:t>Yuzi</w:t>
      </w:r>
      <w:proofErr w:type="spellEnd"/>
      <w:r w:rsidRPr="006865A4">
        <w:rPr>
          <w:rFonts w:ascii="Arial" w:hAnsi="Arial" w:cs="Arial"/>
          <w:bCs/>
          <w:color w:val="000000"/>
          <w:sz w:val="20"/>
        </w:rPr>
        <w:t xml:space="preserve"> Investment Holding Group signed a cooperation agreement on the fund aimed to create a platform under the Luxembourg-Zhengzhou “Silk Road by Air” initiative. TUS S&amp;T will help enhance the connection between China and Europe, with the support of the global innovation network of Tus-Holdings and </w:t>
      </w:r>
      <w:proofErr w:type="spellStart"/>
      <w:r w:rsidRPr="006865A4">
        <w:rPr>
          <w:rFonts w:ascii="Arial" w:hAnsi="Arial" w:cs="Arial"/>
          <w:bCs/>
          <w:color w:val="000000"/>
          <w:sz w:val="20"/>
        </w:rPr>
        <w:t>TusPark</w:t>
      </w:r>
      <w:proofErr w:type="spellEnd"/>
      <w:r w:rsidRPr="006865A4">
        <w:rPr>
          <w:rFonts w:ascii="Arial" w:hAnsi="Arial" w:cs="Arial"/>
          <w:bCs/>
          <w:color w:val="000000"/>
          <w:sz w:val="20"/>
        </w:rPr>
        <w:t>.</w:t>
      </w:r>
    </w:p>
    <w:p w:rsidR="006865A4" w:rsidRPr="006865A4" w:rsidRDefault="006865A4" w:rsidP="006865A4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 w:val="20"/>
        </w:rPr>
      </w:pPr>
      <w:r w:rsidRPr="006865A4">
        <w:rPr>
          <w:rFonts w:ascii="Arial" w:hAnsi="Arial" w:cs="Arial"/>
          <w:bCs/>
          <w:color w:val="000000"/>
          <w:sz w:val="20"/>
        </w:rPr>
        <w:t>Dentons Corporate partner, Shaohui Zhang</w:t>
      </w:r>
      <w:r w:rsidR="00690DC0">
        <w:rPr>
          <w:rFonts w:ascii="Arial" w:hAnsi="Arial" w:cs="Arial"/>
          <w:bCs/>
          <w:color w:val="000000"/>
          <w:sz w:val="20"/>
        </w:rPr>
        <w:t>,</w:t>
      </w:r>
      <w:r w:rsidRPr="006865A4">
        <w:rPr>
          <w:rFonts w:ascii="Arial" w:hAnsi="Arial" w:cs="Arial"/>
          <w:bCs/>
          <w:color w:val="000000"/>
          <w:sz w:val="20"/>
        </w:rPr>
        <w:t xml:space="preserve"> commented: “As China's business relationship with Luxembourg is rapidly evolving, many financial institutions, multinational companies, and fund management companies are looking to Luxembourg as an ideal gateway into the European market.”</w:t>
      </w:r>
    </w:p>
    <w:p w:rsidR="006865A4" w:rsidRDefault="006865A4" w:rsidP="007D1479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color w:val="000000"/>
          <w:sz w:val="20"/>
        </w:rPr>
      </w:pPr>
      <w:r w:rsidRPr="006865A4">
        <w:rPr>
          <w:rFonts w:ascii="Arial" w:hAnsi="Arial" w:cs="Arial"/>
          <w:bCs/>
          <w:color w:val="000000"/>
          <w:sz w:val="20"/>
        </w:rPr>
        <w:t xml:space="preserve">Dentons provided legal advice on the establishment and structuring of the fund. The team was co-led by Corporate partner </w:t>
      </w:r>
      <w:r w:rsidRPr="006865A4">
        <w:rPr>
          <w:rFonts w:ascii="Arial" w:hAnsi="Arial" w:cs="Arial"/>
          <w:b/>
          <w:bCs/>
          <w:color w:val="000000"/>
          <w:sz w:val="20"/>
        </w:rPr>
        <w:t>Shaohui Zhang</w:t>
      </w:r>
      <w:r w:rsidRPr="006865A4">
        <w:rPr>
          <w:rFonts w:ascii="Arial" w:hAnsi="Arial" w:cs="Arial"/>
          <w:bCs/>
          <w:color w:val="000000"/>
          <w:sz w:val="20"/>
        </w:rPr>
        <w:t xml:space="preserve">, Head of the Europe China Desk, partner </w:t>
      </w:r>
      <w:r w:rsidRPr="006865A4">
        <w:rPr>
          <w:rFonts w:ascii="Arial" w:hAnsi="Arial" w:cs="Arial"/>
          <w:b/>
          <w:bCs/>
          <w:color w:val="000000"/>
          <w:sz w:val="20"/>
        </w:rPr>
        <w:t>Eduard Koster</w:t>
      </w:r>
      <w:r w:rsidRPr="006865A4">
        <w:rPr>
          <w:rFonts w:ascii="Arial" w:hAnsi="Arial" w:cs="Arial"/>
          <w:bCs/>
          <w:color w:val="000000"/>
          <w:sz w:val="20"/>
        </w:rPr>
        <w:t xml:space="preserve">, Head of the Investment Funds practice team in Luxembourg, and </w:t>
      </w:r>
      <w:r w:rsidRPr="006865A4">
        <w:rPr>
          <w:rFonts w:ascii="Arial" w:hAnsi="Arial" w:cs="Arial"/>
          <w:b/>
          <w:bCs/>
          <w:color w:val="000000"/>
          <w:sz w:val="20"/>
        </w:rPr>
        <w:t>Frédéric Feyten</w:t>
      </w:r>
      <w:r w:rsidRPr="006865A4">
        <w:rPr>
          <w:rFonts w:ascii="Arial" w:hAnsi="Arial" w:cs="Arial"/>
          <w:bCs/>
          <w:color w:val="000000"/>
          <w:sz w:val="20"/>
        </w:rPr>
        <w:t xml:space="preserve">, Luxembourg Managing Partner and Head of the Tax practice. The team also included Tax managing counsel </w:t>
      </w:r>
      <w:r w:rsidRPr="006865A4">
        <w:rPr>
          <w:rFonts w:ascii="Arial" w:hAnsi="Arial" w:cs="Arial"/>
          <w:b/>
          <w:bCs/>
          <w:color w:val="000000"/>
          <w:sz w:val="20"/>
        </w:rPr>
        <w:t>Jean-Dominique Morelli</w:t>
      </w:r>
      <w:r w:rsidRPr="006865A4">
        <w:rPr>
          <w:rFonts w:ascii="Arial" w:hAnsi="Arial" w:cs="Arial"/>
          <w:bCs/>
          <w:color w:val="000000"/>
          <w:sz w:val="20"/>
        </w:rPr>
        <w:t xml:space="preserve"> and </w:t>
      </w:r>
      <w:r w:rsidR="003A6282" w:rsidRPr="003A6282">
        <w:rPr>
          <w:rFonts w:ascii="Arial" w:hAnsi="Arial" w:cs="Arial"/>
          <w:bCs/>
          <w:color w:val="000000"/>
          <w:sz w:val="20"/>
        </w:rPr>
        <w:t xml:space="preserve">Investment Funds </w:t>
      </w:r>
      <w:r w:rsidRPr="006865A4">
        <w:rPr>
          <w:rFonts w:ascii="Arial" w:hAnsi="Arial" w:cs="Arial"/>
          <w:bCs/>
          <w:color w:val="000000"/>
          <w:sz w:val="20"/>
        </w:rPr>
        <w:t xml:space="preserve">associate </w:t>
      </w:r>
      <w:r w:rsidRPr="006865A4">
        <w:rPr>
          <w:rFonts w:ascii="Arial" w:hAnsi="Arial" w:cs="Arial"/>
          <w:b/>
          <w:bCs/>
          <w:color w:val="000000"/>
          <w:sz w:val="20"/>
        </w:rPr>
        <w:t>Bruno Hrovat</w:t>
      </w:r>
      <w:r w:rsidRPr="006865A4">
        <w:rPr>
          <w:rFonts w:ascii="Arial" w:hAnsi="Arial" w:cs="Arial"/>
          <w:bCs/>
          <w:color w:val="000000"/>
          <w:sz w:val="20"/>
        </w:rPr>
        <w:t>.</w:t>
      </w:r>
      <w:bookmarkStart w:id="0" w:name="_GoBack"/>
      <w:bookmarkEnd w:id="0"/>
    </w:p>
    <w:p w:rsidR="008918B7" w:rsidRPr="00AD18F9" w:rsidRDefault="008918B7" w:rsidP="007D1479">
      <w:pPr>
        <w:spacing w:before="100" w:beforeAutospacing="1" w:after="100" w:afterAutospacing="1" w:line="276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  <w:u w:val="single"/>
          <w:lang w:eastAsia="de-DE"/>
        </w:rPr>
      </w:pPr>
      <w:r w:rsidRPr="00AD18F9">
        <w:rPr>
          <w:rFonts w:ascii="Arial" w:eastAsia="Helvetica" w:hAnsi="Arial" w:cs="Arial"/>
          <w:b/>
          <w:bCs/>
          <w:color w:val="000000"/>
          <w:sz w:val="20"/>
          <w:szCs w:val="20"/>
          <w:u w:val="single"/>
          <w:lang w:eastAsia="de-DE"/>
        </w:rPr>
        <w:t>About Dentons</w:t>
      </w:r>
    </w:p>
    <w:p w:rsidR="008918B7" w:rsidRPr="004D4DD9" w:rsidRDefault="008918B7" w:rsidP="007D1479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E326E3">
        <w:rPr>
          <w:rFonts w:ascii="Arial" w:hAnsi="Arial" w:cs="Arial"/>
          <w:sz w:val="20"/>
          <w:szCs w:val="20"/>
        </w:rPr>
        <w:t xml:space="preserve">Dentons is the world's largest law firm, delivering quality and value to clients around the globe. Dentons is a leader on the </w:t>
      </w:r>
      <w:proofErr w:type="spellStart"/>
      <w:r w:rsidRPr="00E326E3">
        <w:rPr>
          <w:rFonts w:ascii="Arial" w:hAnsi="Arial" w:cs="Arial"/>
          <w:sz w:val="20"/>
          <w:szCs w:val="20"/>
        </w:rPr>
        <w:t>Acritas</w:t>
      </w:r>
      <w:proofErr w:type="spellEnd"/>
      <w:r w:rsidRPr="00E326E3">
        <w:rPr>
          <w:rFonts w:ascii="Arial" w:hAnsi="Arial" w:cs="Arial"/>
          <w:sz w:val="20"/>
          <w:szCs w:val="20"/>
        </w:rPr>
        <w:t xml:space="preserve"> Global Elite Brand Index, a BTI Client Service 30 Award winner and recognized by prominent business and legal publications for its innovations in client service, including founding </w:t>
      </w:r>
      <w:proofErr w:type="spellStart"/>
      <w:r w:rsidRPr="00E326E3">
        <w:rPr>
          <w:rFonts w:ascii="Arial" w:hAnsi="Arial" w:cs="Arial"/>
          <w:sz w:val="20"/>
          <w:szCs w:val="20"/>
        </w:rPr>
        <w:t>Nextlaw</w:t>
      </w:r>
      <w:proofErr w:type="spellEnd"/>
      <w:r w:rsidRPr="00E326E3">
        <w:rPr>
          <w:rFonts w:ascii="Arial" w:hAnsi="Arial" w:cs="Arial"/>
          <w:sz w:val="20"/>
          <w:szCs w:val="20"/>
        </w:rPr>
        <w:t xml:space="preserve"> Labs and the </w:t>
      </w:r>
      <w:proofErr w:type="spellStart"/>
      <w:r w:rsidRPr="00E326E3">
        <w:rPr>
          <w:rFonts w:ascii="Arial" w:hAnsi="Arial" w:cs="Arial"/>
          <w:sz w:val="20"/>
          <w:szCs w:val="20"/>
        </w:rPr>
        <w:t>Nextlaw</w:t>
      </w:r>
      <w:proofErr w:type="spellEnd"/>
      <w:r w:rsidRPr="00E326E3">
        <w:rPr>
          <w:rFonts w:ascii="Arial" w:hAnsi="Arial" w:cs="Arial"/>
          <w:sz w:val="20"/>
          <w:szCs w:val="20"/>
        </w:rPr>
        <w:t xml:space="preserve"> Global Referral Network. Dentons' polycentric approach and world-class talent challenge the status quo to advance client interests in the communities in which we live and work.  </w:t>
      </w:r>
      <w:hyperlink r:id="rId8" w:history="1">
        <w:r w:rsidRPr="00E326E3">
          <w:rPr>
            <w:rFonts w:ascii="Arial" w:hAnsi="Arial" w:cs="Arial"/>
            <w:b/>
            <w:color w:val="7030A0"/>
            <w:sz w:val="20"/>
            <w:szCs w:val="20"/>
          </w:rPr>
          <w:t>www.dentons.com</w:t>
        </w:r>
      </w:hyperlink>
    </w:p>
    <w:p w:rsidR="008918B7" w:rsidRDefault="008918B7" w:rsidP="007D1479">
      <w:pPr>
        <w:pStyle w:val="BodyText"/>
        <w:spacing w:before="100" w:beforeAutospacing="1" w:after="100" w:afterAutospacing="1"/>
        <w:jc w:val="both"/>
        <w:rPr>
          <w:rFonts w:hAnsi="Arial" w:cs="Arial"/>
          <w:lang w:val="de-DE"/>
        </w:rPr>
      </w:pPr>
    </w:p>
    <w:tbl>
      <w:tblPr>
        <w:tblW w:w="9263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678"/>
        <w:gridCol w:w="4585"/>
      </w:tblGrid>
      <w:tr w:rsidR="007D1479" w:rsidRPr="003A6282" w:rsidTr="00103329">
        <w:trPr>
          <w:trHeight w:val="122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479" w:rsidRPr="004E7A5E" w:rsidRDefault="007D1479" w:rsidP="00103329">
            <w:pPr>
              <w:pStyle w:val="Text"/>
              <w:tabs>
                <w:tab w:val="left" w:pos="288"/>
              </w:tabs>
              <w:spacing w:line="276" w:lineRule="auto"/>
              <w:jc w:val="both"/>
              <w:rPr>
                <w:rFonts w:ascii="Arial"/>
                <w:b/>
                <w:bCs/>
                <w:sz w:val="20"/>
                <w:szCs w:val="20"/>
                <w:lang w:val="fr-LU"/>
              </w:rPr>
            </w:pPr>
            <w:r w:rsidRPr="004E7A5E">
              <w:rPr>
                <w:rFonts w:ascii="Arial"/>
                <w:b/>
                <w:bCs/>
                <w:sz w:val="20"/>
                <w:szCs w:val="20"/>
                <w:lang w:val="fr-LU"/>
              </w:rPr>
              <w:lastRenderedPageBreak/>
              <w:t>Contact:</w:t>
            </w:r>
          </w:p>
          <w:p w:rsidR="007D1479" w:rsidRPr="008918B7" w:rsidRDefault="007D1479" w:rsidP="00103329">
            <w:pPr>
              <w:pStyle w:val="Text"/>
              <w:tabs>
                <w:tab w:val="left" w:pos="288"/>
              </w:tabs>
              <w:spacing w:line="276" w:lineRule="auto"/>
              <w:jc w:val="both"/>
              <w:rPr>
                <w:rFonts w:ascii="Arial"/>
                <w:bCs/>
                <w:sz w:val="20"/>
                <w:szCs w:val="20"/>
                <w:lang w:val="fr-LU"/>
              </w:rPr>
            </w:pPr>
            <w:r w:rsidRPr="008918B7">
              <w:rPr>
                <w:rFonts w:ascii="Arial"/>
                <w:bCs/>
                <w:sz w:val="20"/>
                <w:szCs w:val="20"/>
                <w:lang w:val="fr-LU"/>
              </w:rPr>
              <w:t>Shaohui Zhang</w:t>
            </w:r>
          </w:p>
          <w:p w:rsidR="007D1479" w:rsidRPr="008918B7" w:rsidRDefault="007D1479" w:rsidP="00103329">
            <w:pPr>
              <w:pStyle w:val="Text"/>
              <w:tabs>
                <w:tab w:val="left" w:pos="288"/>
              </w:tabs>
              <w:spacing w:line="276" w:lineRule="auto"/>
              <w:jc w:val="both"/>
              <w:rPr>
                <w:rFonts w:ascii="Arial"/>
                <w:bCs/>
                <w:sz w:val="20"/>
                <w:szCs w:val="20"/>
                <w:lang w:val="fr-LU"/>
              </w:rPr>
            </w:pPr>
            <w:r w:rsidRPr="008918B7">
              <w:rPr>
                <w:rFonts w:ascii="Arial"/>
                <w:bCs/>
                <w:sz w:val="20"/>
                <w:szCs w:val="20"/>
                <w:lang w:val="fr-LU"/>
              </w:rPr>
              <w:t>Partner, Luxembourg</w:t>
            </w:r>
          </w:p>
          <w:p w:rsidR="007D1479" w:rsidRPr="008918B7" w:rsidRDefault="007D1479" w:rsidP="00103329">
            <w:pPr>
              <w:tabs>
                <w:tab w:val="left" w:pos="288"/>
              </w:tabs>
              <w:spacing w:line="276" w:lineRule="auto"/>
              <w:jc w:val="both"/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 w:frame="1"/>
                <w:lang w:val="fr-LU"/>
              </w:rPr>
            </w:pPr>
            <w:r w:rsidRPr="008918B7">
              <w:rPr>
                <w:rFonts w:ascii="Arial" w:eastAsia="Calibri" w:hAnsi="Arial" w:cs="Arabic Transparent"/>
                <w:bCs/>
                <w:sz w:val="20"/>
                <w:bdr w:val="none" w:sz="0" w:space="0" w:color="auto" w:frame="1"/>
                <w:lang w:val="fr-LU"/>
              </w:rPr>
              <w:t>T +</w:t>
            </w:r>
            <w:r>
              <w:rPr>
                <w:rFonts w:ascii="Arial" w:eastAsia="Calibri" w:hAnsi="Arial" w:cs="Arabic Transparent"/>
                <w:bCs/>
                <w:sz w:val="20"/>
                <w:bdr w:val="none" w:sz="0" w:space="0" w:color="auto" w:frame="1"/>
                <w:lang w:val="fr-LU"/>
              </w:rPr>
              <w:t xml:space="preserve"> +352 46 83 83 246</w:t>
            </w:r>
          </w:p>
          <w:p w:rsidR="007D1479" w:rsidRPr="006A6D32" w:rsidRDefault="007D1479" w:rsidP="00103329">
            <w:pPr>
              <w:tabs>
                <w:tab w:val="left" w:pos="288"/>
              </w:tabs>
              <w:spacing w:after="120" w:line="276" w:lineRule="auto"/>
              <w:jc w:val="both"/>
              <w:rPr>
                <w:rFonts w:ascii="Arial"/>
                <w:bCs/>
                <w:sz w:val="20"/>
                <w:szCs w:val="20"/>
                <w:lang w:val="it-IT"/>
              </w:rPr>
            </w:pPr>
            <w:r w:rsidRPr="006A6D32">
              <w:rPr>
                <w:rFonts w:ascii="Arial"/>
                <w:bCs/>
                <w:sz w:val="20"/>
                <w:szCs w:val="20"/>
                <w:lang w:val="it-IT"/>
              </w:rPr>
              <w:t xml:space="preserve">E </w:t>
            </w:r>
            <w:r w:rsidRPr="008918B7">
              <w:rPr>
                <w:rFonts w:ascii="Arial"/>
                <w:bCs/>
                <w:sz w:val="20"/>
                <w:szCs w:val="20"/>
                <w:lang w:val="it-IT"/>
              </w:rPr>
              <w:t>shaohui.zhang@dentons.com</w:t>
            </w:r>
          </w:p>
        </w:tc>
        <w:tc>
          <w:tcPr>
            <w:tcW w:w="4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479" w:rsidRPr="003C25FD" w:rsidRDefault="007D1479" w:rsidP="00103329">
            <w:pPr>
              <w:pStyle w:val="Text"/>
              <w:tabs>
                <w:tab w:val="left" w:pos="288"/>
              </w:tabs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3C25FD">
              <w:rPr>
                <w:rFonts w:ascii="Arial"/>
                <w:b/>
                <w:bCs/>
                <w:sz w:val="20"/>
                <w:szCs w:val="20"/>
                <w:lang w:val="en-US"/>
              </w:rPr>
              <w:t>Press Contact:</w:t>
            </w:r>
          </w:p>
          <w:p w:rsidR="007D1479" w:rsidRPr="003C25FD" w:rsidRDefault="007D1479" w:rsidP="00103329">
            <w:pPr>
              <w:tabs>
                <w:tab w:val="left" w:pos="288"/>
              </w:tabs>
              <w:spacing w:line="276" w:lineRule="auto"/>
              <w:jc w:val="both"/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</w:rPr>
            </w:pPr>
            <w:r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</w:rPr>
              <w:t>Florence Lhyvernay</w:t>
            </w:r>
          </w:p>
          <w:p w:rsidR="007D1479" w:rsidRDefault="007D1479" w:rsidP="00103329">
            <w:pPr>
              <w:tabs>
                <w:tab w:val="left" w:pos="288"/>
              </w:tabs>
              <w:spacing w:line="276" w:lineRule="auto"/>
              <w:jc w:val="both"/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</w:rPr>
            </w:pPr>
            <w:r w:rsidRPr="008918B7"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</w:rPr>
              <w:t>Marketing and Communications Manager</w:t>
            </w:r>
          </w:p>
          <w:p w:rsidR="007D1479" w:rsidRPr="00AD18F9" w:rsidRDefault="007D1479" w:rsidP="00103329">
            <w:pPr>
              <w:tabs>
                <w:tab w:val="left" w:pos="288"/>
              </w:tabs>
              <w:spacing w:line="276" w:lineRule="auto"/>
              <w:jc w:val="both"/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  <w:lang w:val="de-DE"/>
              </w:rPr>
            </w:pPr>
            <w:r w:rsidRPr="00AD18F9"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  <w:lang w:val="de-DE"/>
              </w:rPr>
              <w:t>T +</w:t>
            </w:r>
            <w:r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  <w:lang w:val="de-DE"/>
              </w:rPr>
              <w:t>352 46 83 83 312</w:t>
            </w:r>
          </w:p>
          <w:p w:rsidR="007D1479" w:rsidRPr="00AD18F9" w:rsidRDefault="007D1479" w:rsidP="00103329">
            <w:pPr>
              <w:tabs>
                <w:tab w:val="left" w:pos="288"/>
              </w:tabs>
              <w:spacing w:line="276" w:lineRule="auto"/>
              <w:jc w:val="both"/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  <w:lang w:val="de-DE"/>
              </w:rPr>
            </w:pPr>
            <w:r w:rsidRPr="00AD18F9"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  <w:lang w:val="de-DE"/>
              </w:rPr>
              <w:t xml:space="preserve">E </w:t>
            </w:r>
            <w:r w:rsidRPr="008918B7">
              <w:rPr>
                <w:rFonts w:ascii="Arial" w:eastAsia="Calibri" w:hAnsi="Arial" w:cs="Arabic Transparent"/>
                <w:bCs/>
                <w:sz w:val="20"/>
                <w:szCs w:val="22"/>
                <w:bdr w:val="none" w:sz="0" w:space="0" w:color="auto"/>
                <w:lang w:val="de-DE"/>
              </w:rPr>
              <w:t>florence.lhyvernay@dentons.com</w:t>
            </w:r>
          </w:p>
        </w:tc>
      </w:tr>
    </w:tbl>
    <w:p w:rsidR="007D1479" w:rsidRPr="007D1479" w:rsidRDefault="007D1479" w:rsidP="008918B7">
      <w:pPr>
        <w:pStyle w:val="BodyText"/>
        <w:jc w:val="both"/>
        <w:rPr>
          <w:rFonts w:hAnsi="Arial" w:cs="Arial"/>
          <w:lang w:val="fr-LU"/>
        </w:rPr>
      </w:pPr>
    </w:p>
    <w:p w:rsidR="006B2922" w:rsidRPr="007D1479" w:rsidRDefault="006B2922">
      <w:pPr>
        <w:rPr>
          <w:rFonts w:ascii="Arial" w:hAnsi="Arial" w:cs="Arial"/>
          <w:sz w:val="20"/>
          <w:szCs w:val="20"/>
          <w:lang w:val="fr-LU"/>
        </w:rPr>
      </w:pPr>
    </w:p>
    <w:sectPr w:rsidR="006B2922" w:rsidRPr="007D1479" w:rsidSect="00074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835" w:bottom="993" w:left="1440" w:header="340" w:footer="58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8C" w:rsidRDefault="00356632">
      <w:r>
        <w:separator/>
      </w:r>
    </w:p>
  </w:endnote>
  <w:endnote w:type="continuationSeparator" w:id="0">
    <w:p w:rsidR="0006558C" w:rsidRDefault="0035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4B" w:rsidRDefault="003A6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7D" w:rsidRDefault="003A6282" w:rsidP="001507A3">
    <w:pPr>
      <w:pStyle w:val="Footer"/>
      <w:tabs>
        <w:tab w:val="clear" w:pos="9072"/>
        <w:tab w:val="right" w:pos="9000"/>
      </w:tabs>
    </w:pPr>
  </w:p>
  <w:p w:rsidR="002D1A7D" w:rsidRDefault="003A6282" w:rsidP="001507A3">
    <w:pPr>
      <w:pStyle w:val="Footer"/>
      <w:tabs>
        <w:tab w:val="clear" w:pos="9072"/>
        <w:tab w:val="right" w:pos="9000"/>
      </w:tabs>
    </w:pPr>
  </w:p>
  <w:p w:rsidR="00C714E3" w:rsidRDefault="003A6282" w:rsidP="001507A3">
    <w:pPr>
      <w:pStyle w:val="Footer"/>
      <w:tabs>
        <w:tab w:val="clear" w:pos="9072"/>
        <w:tab w:val="right" w:pos="9000"/>
      </w:tabs>
    </w:pPr>
  </w:p>
  <w:p w:rsidR="00D2673D" w:rsidRDefault="00C41025" w:rsidP="001507A3">
    <w:pPr>
      <w:pStyle w:val="Footer"/>
      <w:tabs>
        <w:tab w:val="clear" w:pos="9072"/>
        <w:tab w:val="right" w:pos="9000"/>
      </w:tabs>
    </w:pPr>
    <w:r>
      <w:fldChar w:fldCharType="begin"/>
    </w:r>
    <w:r w:rsidRPr="00D2673D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074385">
      <w:rPr>
        <w:rFonts w:ascii="Verdana" w:hAnsi="Verdana"/>
        <w:sz w:val="16"/>
      </w:rPr>
      <w:t>Luxembourg 5188948.1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4B" w:rsidRDefault="003A6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8C" w:rsidRDefault="00356632">
      <w:r>
        <w:separator/>
      </w:r>
    </w:p>
  </w:footnote>
  <w:footnote w:type="continuationSeparator" w:id="0">
    <w:p w:rsidR="0006558C" w:rsidRDefault="0035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4B" w:rsidRDefault="003A6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4B" w:rsidRDefault="003A6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4B" w:rsidRDefault="003A6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4A4"/>
    <w:multiLevelType w:val="hybridMultilevel"/>
    <w:tmpl w:val="C742A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823A09"/>
    <w:multiLevelType w:val="hybridMultilevel"/>
    <w:tmpl w:val="43101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LU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B7"/>
    <w:rsid w:val="0006558C"/>
    <w:rsid w:val="00074385"/>
    <w:rsid w:val="000C5BBB"/>
    <w:rsid w:val="000F450A"/>
    <w:rsid w:val="001214E2"/>
    <w:rsid w:val="0022545D"/>
    <w:rsid w:val="00356632"/>
    <w:rsid w:val="003651F5"/>
    <w:rsid w:val="00390149"/>
    <w:rsid w:val="003A6282"/>
    <w:rsid w:val="003B5D31"/>
    <w:rsid w:val="00495390"/>
    <w:rsid w:val="004E7A5E"/>
    <w:rsid w:val="005A4887"/>
    <w:rsid w:val="00627289"/>
    <w:rsid w:val="006865A4"/>
    <w:rsid w:val="00690DC0"/>
    <w:rsid w:val="006B2922"/>
    <w:rsid w:val="007D1479"/>
    <w:rsid w:val="00806407"/>
    <w:rsid w:val="00845823"/>
    <w:rsid w:val="008531D0"/>
    <w:rsid w:val="00874E65"/>
    <w:rsid w:val="008918B7"/>
    <w:rsid w:val="00924658"/>
    <w:rsid w:val="0097440F"/>
    <w:rsid w:val="009A539B"/>
    <w:rsid w:val="009E1AA8"/>
    <w:rsid w:val="00AF1F86"/>
    <w:rsid w:val="00C41025"/>
    <w:rsid w:val="00C9766A"/>
    <w:rsid w:val="00CB611A"/>
    <w:rsid w:val="00CC707D"/>
    <w:rsid w:val="00D44616"/>
    <w:rsid w:val="00D7635F"/>
    <w:rsid w:val="00DB4720"/>
    <w:rsid w:val="00F32A11"/>
    <w:rsid w:val="00F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9BE4-558C-441F-B678-1B2C615F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8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91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918B7"/>
    <w:rPr>
      <w:rFonts w:ascii="Helvetica" w:eastAsia="Arial Unicode MS" w:hAnsi="Arial Unicode MS" w:cs="Arial Unicode MS"/>
      <w:color w:val="000000"/>
      <w:u w:color="000000"/>
      <w:bdr w:val="nil"/>
      <w:lang w:val="de-DE" w:eastAsia="de-DE"/>
    </w:rPr>
  </w:style>
  <w:style w:type="paragraph" w:customStyle="1" w:styleId="Text">
    <w:name w:val="Text"/>
    <w:rsid w:val="008918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 w:eastAsia="de-DE"/>
    </w:rPr>
  </w:style>
  <w:style w:type="paragraph" w:customStyle="1" w:styleId="TextA">
    <w:name w:val="Text A"/>
    <w:rsid w:val="008918B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de-DE" w:eastAsia="de-DE"/>
    </w:rPr>
  </w:style>
  <w:style w:type="paragraph" w:styleId="BodyText">
    <w:name w:val="Body Text"/>
    <w:link w:val="BodyTextChar"/>
    <w:rsid w:val="008918B7"/>
    <w:p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8918B7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89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B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89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paragraph" w:styleId="NoSpacing">
    <w:name w:val="No Spacing"/>
    <w:uiPriority w:val="1"/>
    <w:qFormat/>
    <w:rsid w:val="00874E6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0F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on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Dentons Europe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Agoumimelcha, Melissa</dc:creator>
  <cp:keywords/>
  <dc:description/>
  <cp:lastModifiedBy>Lhyvernay, Florence</cp:lastModifiedBy>
  <cp:revision>3</cp:revision>
  <dcterms:created xsi:type="dcterms:W3CDTF">2019-05-07T07:52:00Z</dcterms:created>
  <dcterms:modified xsi:type="dcterms:W3CDTF">2019-05-07T07:53:00Z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Luxembourg 5188948.1</vt:lpwstr>
  </property>
</Properties>
</file>