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42D9" w14:textId="77777777" w:rsidR="00D94B82" w:rsidRDefault="00D94B82" w:rsidP="00D94B8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93561859"/>
      <w:r w:rsidRPr="4C7DB8A1">
        <w:rPr>
          <w:rFonts w:ascii="Arial" w:hAnsi="Arial" w:cs="Arial"/>
          <w:b/>
          <w:bCs/>
          <w:sz w:val="28"/>
          <w:szCs w:val="28"/>
        </w:rPr>
        <w:t>IQ-EQ Launches Hybrid Funds Desk to Meet Growing Client and Industry Demand</w:t>
      </w:r>
    </w:p>
    <w:p w14:paraId="1DDA535B" w14:textId="77777777" w:rsidR="00D94B82" w:rsidRDefault="00D94B82" w:rsidP="00D94B8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Leading global investor services provider announces new, market-leading offering for hybrid fund managers </w:t>
      </w:r>
    </w:p>
    <w:p w14:paraId="5BBC7956" w14:textId="18D1B5FD" w:rsidR="00D94B82" w:rsidRDefault="00D94B82" w:rsidP="00D94B82">
      <w:pPr>
        <w:rPr>
          <w:rFonts w:ascii="Arial" w:hAnsi="Arial" w:cs="Arial"/>
        </w:rPr>
      </w:pPr>
      <w:r w:rsidRPr="003B2CC9">
        <w:rPr>
          <w:rFonts w:ascii="Arial" w:hAnsi="Arial" w:cs="Arial"/>
          <w:b/>
          <w:bCs/>
        </w:rPr>
        <w:t>Luxembourg</w:t>
      </w:r>
      <w:r>
        <w:rPr>
          <w:rFonts w:ascii="Arial" w:hAnsi="Arial" w:cs="Arial"/>
          <w:b/>
          <w:bCs/>
        </w:rPr>
        <w:t xml:space="preserve"> </w:t>
      </w:r>
      <w:r w:rsidRPr="003B2CC9">
        <w:rPr>
          <w:rFonts w:ascii="Arial" w:hAnsi="Arial" w:cs="Arial"/>
          <w:b/>
          <w:bCs/>
        </w:rPr>
        <w:t xml:space="preserve">– January </w:t>
      </w:r>
      <w:r w:rsidR="1B7FF5F6" w:rsidRPr="6A624929">
        <w:rPr>
          <w:rFonts w:ascii="Arial" w:hAnsi="Arial" w:cs="Arial"/>
          <w:b/>
          <w:bCs/>
        </w:rPr>
        <w:t>20</w:t>
      </w:r>
      <w:r w:rsidRPr="003B2CC9">
        <w:rPr>
          <w:rFonts w:ascii="Arial" w:hAnsi="Arial" w:cs="Arial"/>
          <w:b/>
          <w:bCs/>
        </w:rPr>
        <w:t>, 2022</w:t>
      </w:r>
      <w:r>
        <w:rPr>
          <w:rFonts w:ascii="Arial" w:hAnsi="Arial" w:cs="Arial"/>
        </w:rPr>
        <w:t xml:space="preserve"> – IQ-EQ, a leading global investor services provider, announced today the launch of its new </w:t>
      </w:r>
      <w:hyperlink r:id="rId9">
        <w:r w:rsidRPr="6A624929">
          <w:rPr>
            <w:rStyle w:val="Hyperlink"/>
            <w:rFonts w:ascii="Arial" w:hAnsi="Arial" w:cs="Arial"/>
          </w:rPr>
          <w:t>Hybrid Funds Desk</w:t>
        </w:r>
      </w:hyperlink>
      <w:r w:rsidRPr="6A624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new desk will provide the burgeoning hybrid funds market with a dedicated, globally integrated team with expertise across open-ended and closed-ended fund structures. </w:t>
      </w:r>
    </w:p>
    <w:p w14:paraId="6887C9AE" w14:textId="13BCC532" w:rsidR="00D94B82" w:rsidRDefault="00D94B82" w:rsidP="00D94B82">
      <w:pPr>
        <w:rPr>
          <w:rFonts w:ascii="Arial" w:hAnsi="Arial" w:cs="Arial"/>
        </w:rPr>
      </w:pPr>
      <w:r w:rsidRPr="4C7DB8A1">
        <w:rPr>
          <w:rFonts w:ascii="Arial" w:hAnsi="Arial" w:cs="Arial"/>
        </w:rPr>
        <w:t>With recent years seeing increas</w:t>
      </w:r>
      <w:r>
        <w:rPr>
          <w:rFonts w:ascii="Arial" w:hAnsi="Arial" w:cs="Arial"/>
        </w:rPr>
        <w:t>ed</w:t>
      </w:r>
      <w:r w:rsidRPr="4C7DB8A1">
        <w:rPr>
          <w:rFonts w:ascii="Arial" w:hAnsi="Arial" w:cs="Arial"/>
        </w:rPr>
        <w:t xml:space="preserve"> capital flows into funds as well as an expanding investor base, traditional and alternative asset managers alike have looked to broaden their product offerings by pursuing diversified portfolios and multi-asset strategy funds. As a result, hybrid funds</w:t>
      </w:r>
      <w:r>
        <w:rPr>
          <w:rFonts w:ascii="Arial" w:hAnsi="Arial" w:cs="Arial"/>
        </w:rPr>
        <w:t xml:space="preserve"> – which provide</w:t>
      </w:r>
      <w:r w:rsidRPr="4C7DB8A1">
        <w:rPr>
          <w:rFonts w:ascii="Arial" w:hAnsi="Arial" w:cs="Arial"/>
        </w:rPr>
        <w:t xml:space="preserve"> fund managers the unique flexibility to invest in a range of asset classes and combin</w:t>
      </w:r>
      <w:r>
        <w:rPr>
          <w:rFonts w:ascii="Arial" w:hAnsi="Arial" w:cs="Arial"/>
        </w:rPr>
        <w:t>e</w:t>
      </w:r>
      <w:r w:rsidRPr="4C7DB8A1">
        <w:rPr>
          <w:rFonts w:ascii="Arial" w:hAnsi="Arial" w:cs="Arial"/>
        </w:rPr>
        <w:t xml:space="preserve"> both illiquid and liquid investment strategies</w:t>
      </w:r>
      <w:r>
        <w:rPr>
          <w:rFonts w:ascii="Arial" w:hAnsi="Arial" w:cs="Arial"/>
        </w:rPr>
        <w:t xml:space="preserve"> – </w:t>
      </w:r>
      <w:r w:rsidRPr="4C7DB8A1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become increasingly popular across the globe.</w:t>
      </w:r>
      <w:r w:rsidRPr="4C7DB8A1">
        <w:rPr>
          <w:rFonts w:ascii="Arial" w:hAnsi="Arial" w:cs="Arial"/>
        </w:rPr>
        <w:t xml:space="preserve"> </w:t>
      </w:r>
    </w:p>
    <w:p w14:paraId="3C511890" w14:textId="2F89BD2F" w:rsidR="00D94B82" w:rsidRDefault="00D94B82" w:rsidP="00D94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complex and non-standard nature of hybrid funds, however, presents several challenges from an administration perspective due to each fund’s unique multi-asset and </w:t>
      </w:r>
      <w:r w:rsidR="009F435B">
        <w:rPr>
          <w:rFonts w:ascii="Arial" w:hAnsi="Arial" w:cs="Arial"/>
        </w:rPr>
        <w:t xml:space="preserve">complex </w:t>
      </w:r>
      <w:r>
        <w:rPr>
          <w:rFonts w:ascii="Arial" w:hAnsi="Arial" w:cs="Arial"/>
        </w:rPr>
        <w:t xml:space="preserve">fee </w:t>
      </w:r>
      <w:r w:rsidR="009F435B">
        <w:rPr>
          <w:rFonts w:ascii="Arial" w:hAnsi="Arial" w:cs="Arial"/>
        </w:rPr>
        <w:t>calculations</w:t>
      </w:r>
      <w:r>
        <w:rPr>
          <w:rFonts w:ascii="Arial" w:hAnsi="Arial" w:cs="Arial"/>
        </w:rPr>
        <w:t xml:space="preserve">, and </w:t>
      </w:r>
      <w:r w:rsidR="009F435B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 xml:space="preserve">for tailor-made service solutions. IQ-EQ’s new hybrid funds desk directly addresses these </w:t>
      </w:r>
      <w:r w:rsidR="009F435B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while providing the same sophisticated, tailored service IQ-EQ has become known for globally. </w:t>
      </w:r>
    </w:p>
    <w:p w14:paraId="0E282BED" w14:textId="761D6A3D" w:rsidR="00D94B82" w:rsidRDefault="00D94B82" w:rsidP="00D94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IQ-EQ’s Hybrid Funds Desk </w:t>
      </w:r>
      <w:r w:rsidRPr="00005CA4">
        <w:rPr>
          <w:rFonts w:ascii="Arial" w:hAnsi="Arial" w:cs="Arial"/>
        </w:rPr>
        <w:t>offers a full suite of services at the fund, asset and investor levels</w:t>
      </w:r>
      <w:r>
        <w:rPr>
          <w:rFonts w:ascii="Arial" w:hAnsi="Arial" w:cs="Arial"/>
        </w:rPr>
        <w:t xml:space="preserve">, combining the firm’s technical expertise with modern, streamlined technology solutions. It is designed to provide managers and investors with a singular, yet integrated system that services both liquid and illiquid asset classes end-to-end. It is built around IQ-EQ’s core technology platform, and, when combined with IQ-EQ’s </w:t>
      </w:r>
      <w:r w:rsidR="009F435B">
        <w:rPr>
          <w:rFonts w:ascii="Arial" w:hAnsi="Arial" w:cs="Arial"/>
        </w:rPr>
        <w:t xml:space="preserve">leading </w:t>
      </w:r>
      <w:r>
        <w:rPr>
          <w:rFonts w:ascii="Arial" w:hAnsi="Arial" w:cs="Arial"/>
        </w:rPr>
        <w:t xml:space="preserve">reporting platform, allows for the combining of multiple data feeds to produce enhanced, standardized reporting and analytics. </w:t>
      </w:r>
    </w:p>
    <w:p w14:paraId="3629CDE2" w14:textId="77777777" w:rsidR="00D94B82" w:rsidRPr="0071060C" w:rsidRDefault="00D94B82" w:rsidP="00D94B82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</w:rPr>
        <w:t>With options to also incorporate additional dedicated software platforms, which provide value-add asset level, SPV, Middle Office and AML/KYC services, the Desk further includes a dedicated, global team of experts across IQ-EQ’s wider alternative and institutional funds, capital markets, compliance, and AIFM practice groups.</w:t>
      </w:r>
    </w:p>
    <w:p w14:paraId="7CCC2613" w14:textId="3F1EA60A" w:rsidR="00D94B82" w:rsidRPr="00B75274" w:rsidRDefault="00D94B82" w:rsidP="00D94B82">
      <w:pPr>
        <w:rPr>
          <w:rFonts w:ascii="Arial" w:hAnsi="Arial" w:cs="Arial"/>
        </w:rPr>
      </w:pPr>
      <w:r w:rsidRPr="00B75274">
        <w:rPr>
          <w:rFonts w:ascii="Arial" w:hAnsi="Arial" w:cs="Arial"/>
          <w:b/>
          <w:bCs/>
        </w:rPr>
        <w:t>Justin Partington, Global Head of Funds at IQ-EQ, comments</w:t>
      </w:r>
      <w:r w:rsidRPr="00B75274">
        <w:rPr>
          <w:rFonts w:ascii="Arial" w:hAnsi="Arial" w:cs="Arial"/>
        </w:rPr>
        <w:t>: “</w:t>
      </w:r>
      <w:r w:rsidR="009F435B">
        <w:rPr>
          <w:rFonts w:ascii="Arial" w:hAnsi="Arial" w:cs="Arial"/>
        </w:rPr>
        <w:t>I am</w:t>
      </w:r>
      <w:r w:rsidRPr="00B75274">
        <w:rPr>
          <w:rFonts w:ascii="Arial" w:hAnsi="Arial" w:cs="Arial"/>
        </w:rPr>
        <w:t xml:space="preserve"> delighted to launch our IQ-EQ Hybrid Funds Desk </w:t>
      </w:r>
      <w:r w:rsidR="00E130DF">
        <w:rPr>
          <w:rFonts w:ascii="Arial" w:hAnsi="Arial" w:cs="Arial"/>
        </w:rPr>
        <w:t xml:space="preserve">which we have created </w:t>
      </w:r>
      <w:r w:rsidRPr="00B75274">
        <w:rPr>
          <w:rFonts w:ascii="Arial" w:hAnsi="Arial" w:cs="Arial"/>
        </w:rPr>
        <w:t xml:space="preserve">to meet growing client demand. </w:t>
      </w:r>
      <w:r>
        <w:rPr>
          <w:rFonts w:ascii="Arial" w:hAnsi="Arial" w:cs="Arial"/>
        </w:rPr>
        <w:t>We have seen rising interest in hybrid funds – not just from fund clients but also from private wealth and family office clients who are interested in the flexibility, opportunities and returns that hybrid funds provide.</w:t>
      </w:r>
      <w:r w:rsidRPr="00B75274">
        <w:rPr>
          <w:rFonts w:ascii="Arial" w:hAnsi="Arial" w:cs="Arial"/>
        </w:rPr>
        <w:t xml:space="preserve"> </w:t>
      </w:r>
    </w:p>
    <w:p w14:paraId="3EDD91FA" w14:textId="515CC7EF" w:rsidR="00D94B82" w:rsidRDefault="00E130DF" w:rsidP="00D94B82">
      <w:pPr>
        <w:rPr>
          <w:rFonts w:ascii="Arial" w:hAnsi="Arial" w:cs="Arial"/>
        </w:rPr>
      </w:pPr>
      <w:r>
        <w:rPr>
          <w:rFonts w:ascii="Arial" w:hAnsi="Arial" w:cs="Arial"/>
        </w:rPr>
        <w:t>The H</w:t>
      </w:r>
      <w:r w:rsidR="00D94B82" w:rsidRPr="3BCFDACD">
        <w:rPr>
          <w:rFonts w:ascii="Arial" w:hAnsi="Arial" w:cs="Arial"/>
        </w:rPr>
        <w:t xml:space="preserve">ybrid </w:t>
      </w:r>
      <w:r>
        <w:rPr>
          <w:rFonts w:ascii="Arial" w:hAnsi="Arial" w:cs="Arial"/>
        </w:rPr>
        <w:t>F</w:t>
      </w:r>
      <w:r w:rsidR="00D94B82" w:rsidRPr="3BCFDACD">
        <w:rPr>
          <w:rFonts w:ascii="Arial" w:hAnsi="Arial" w:cs="Arial"/>
        </w:rPr>
        <w:t xml:space="preserve">unds </w:t>
      </w:r>
      <w:r>
        <w:rPr>
          <w:rFonts w:ascii="Arial" w:hAnsi="Arial" w:cs="Arial"/>
        </w:rPr>
        <w:t>D</w:t>
      </w:r>
      <w:r w:rsidR="00D94B82" w:rsidRPr="3BCFDACD">
        <w:rPr>
          <w:rFonts w:ascii="Arial" w:hAnsi="Arial" w:cs="Arial"/>
        </w:rPr>
        <w:t xml:space="preserve">esk mirrors all the defining facets of hybrid funds, with the built-in flexibility needed to support complex </w:t>
      </w:r>
      <w:r w:rsidR="009F435B">
        <w:rPr>
          <w:rFonts w:ascii="Arial" w:hAnsi="Arial" w:cs="Arial"/>
        </w:rPr>
        <w:t>structures</w:t>
      </w:r>
      <w:r w:rsidR="00D94B82" w:rsidRPr="3BCFDA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="00D94B82" w:rsidRPr="3BCFDACD">
        <w:rPr>
          <w:rFonts w:ascii="Arial" w:hAnsi="Arial" w:cs="Arial"/>
        </w:rPr>
        <w:t xml:space="preserve">e are excited to be evolving our business alongside the industry and </w:t>
      </w:r>
      <w:r w:rsidR="00D94B82">
        <w:rPr>
          <w:rFonts w:ascii="Arial" w:hAnsi="Arial" w:cs="Arial"/>
        </w:rPr>
        <w:t>to maintain our position as</w:t>
      </w:r>
      <w:r w:rsidR="00D94B82" w:rsidRPr="3BCFDACD">
        <w:rPr>
          <w:rFonts w:ascii="Arial" w:hAnsi="Arial" w:cs="Arial"/>
        </w:rPr>
        <w:t xml:space="preserve"> the leading investor services provider globally.”</w:t>
      </w:r>
    </w:p>
    <w:p w14:paraId="5535ED06" w14:textId="26B7B36F" w:rsidR="00D94B82" w:rsidRDefault="00D94B82" w:rsidP="00D94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IQ-EQ operates in 24 jurisdictions worldwide, with a presence in key funds jurisdictions, including </w:t>
      </w:r>
      <w:r w:rsidR="009F435B">
        <w:rPr>
          <w:rFonts w:ascii="Arial" w:hAnsi="Arial" w:cs="Arial"/>
        </w:rPr>
        <w:t>the U.S.,</w:t>
      </w:r>
      <w:r>
        <w:rPr>
          <w:rFonts w:ascii="Arial" w:hAnsi="Arial" w:cs="Arial"/>
        </w:rPr>
        <w:t xml:space="preserve"> United Kingdom, </w:t>
      </w:r>
      <w:r w:rsidR="009F435B">
        <w:rPr>
          <w:rFonts w:ascii="Arial" w:hAnsi="Arial" w:cs="Arial"/>
        </w:rPr>
        <w:t xml:space="preserve">Luxembourg, </w:t>
      </w:r>
      <w:r>
        <w:rPr>
          <w:rFonts w:ascii="Arial" w:hAnsi="Arial" w:cs="Arial"/>
        </w:rPr>
        <w:t xml:space="preserve">Ireland, Hong Kong, Singapore, Mauritius, and </w:t>
      </w:r>
      <w:r w:rsidR="009F43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Cayman Islands. To learn more about and contact IQ-EQ’s Hybrid Funds Desk, please visit </w:t>
      </w:r>
      <w:hyperlink r:id="rId10" w:history="1">
        <w:r w:rsidR="00635F5B" w:rsidRPr="00B45DB4">
          <w:rPr>
            <w:rStyle w:val="Hyperlink"/>
            <w:rFonts w:ascii="Arial" w:hAnsi="Arial" w:cs="Arial"/>
          </w:rPr>
          <w:t>https://iqeq.com/hybrid</w:t>
        </w:r>
      </w:hyperlink>
      <w:r>
        <w:rPr>
          <w:rFonts w:ascii="Arial" w:hAnsi="Arial" w:cs="Arial"/>
        </w:rPr>
        <w:t>.</w:t>
      </w:r>
      <w:r w:rsidR="00635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0D2EAC8" w14:textId="77777777" w:rsidR="00D94B82" w:rsidRDefault="00D94B82" w:rsidP="00D94B82">
      <w:pPr>
        <w:rPr>
          <w:rFonts w:ascii="Arial" w:hAnsi="Arial" w:cs="Arial"/>
        </w:rPr>
      </w:pPr>
    </w:p>
    <w:p w14:paraId="0685A7D8" w14:textId="77777777" w:rsidR="00D94B82" w:rsidRDefault="00D94B82" w:rsidP="00D94B82">
      <w:pPr>
        <w:jc w:val="center"/>
        <w:rPr>
          <w:rFonts w:ascii="Arial" w:hAnsi="Arial" w:cs="Arial"/>
          <w:b/>
          <w:bCs/>
        </w:rPr>
      </w:pPr>
      <w:r w:rsidRPr="00B92B47">
        <w:rPr>
          <w:rFonts w:ascii="Arial" w:hAnsi="Arial" w:cs="Arial"/>
          <w:b/>
          <w:bCs/>
        </w:rPr>
        <w:t>—ENDS—</w:t>
      </w:r>
    </w:p>
    <w:p w14:paraId="5084AAE3" w14:textId="77777777" w:rsidR="00D94B82" w:rsidRPr="00A51A92" w:rsidRDefault="00D94B82" w:rsidP="00D94B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9CA0C2" w14:textId="77777777" w:rsidR="00D94B82" w:rsidRPr="00A51A92" w:rsidRDefault="00D94B82" w:rsidP="00D94B82">
      <w:pPr>
        <w:spacing w:line="240" w:lineRule="auto"/>
        <w:rPr>
          <w:rFonts w:ascii="Arial" w:hAnsi="Arial" w:cs="Arial"/>
        </w:rPr>
      </w:pPr>
      <w:r w:rsidRPr="00A51A92">
        <w:rPr>
          <w:rFonts w:ascii="Arial" w:hAnsi="Arial" w:cs="Arial"/>
          <w:b/>
          <w:bCs/>
          <w:u w:val="single"/>
        </w:rPr>
        <w:t>Note to editors</w:t>
      </w:r>
    </w:p>
    <w:p w14:paraId="6FCFE13B" w14:textId="77777777" w:rsidR="00D94B82" w:rsidRPr="00E942AF" w:rsidRDefault="00D94B82" w:rsidP="00D94B82">
      <w:pPr>
        <w:pStyle w:val="Body"/>
        <w:shd w:val="clear" w:color="auto" w:fill="FFFFFF"/>
        <w:spacing w:after="160" w:line="276" w:lineRule="auto"/>
        <w:rPr>
          <w:rFonts w:ascii="Arial" w:hAnsi="Arial" w:cs="Arial"/>
          <w:color w:val="auto"/>
          <w:sz w:val="22"/>
          <w:szCs w:val="22"/>
        </w:rPr>
      </w:pPr>
      <w:r w:rsidRPr="00E942AF">
        <w:rPr>
          <w:rFonts w:ascii="Arial" w:hAnsi="Arial" w:cs="Arial"/>
          <w:b/>
          <w:bCs/>
          <w:sz w:val="22"/>
          <w:szCs w:val="22"/>
        </w:rPr>
        <w:t>About IQ-EQ</w:t>
      </w:r>
    </w:p>
    <w:p w14:paraId="15007B77" w14:textId="77777777" w:rsidR="00D94B82" w:rsidRPr="00E942AF" w:rsidRDefault="00D94B82" w:rsidP="00D94B82">
      <w:pPr>
        <w:spacing w:line="276" w:lineRule="auto"/>
        <w:jc w:val="both"/>
        <w:rPr>
          <w:rFonts w:ascii="Arial" w:hAnsi="Arial" w:cs="Arial"/>
          <w:color w:val="000000"/>
          <w:bdr w:val="none" w:sz="0" w:space="0" w:color="auto" w:frame="1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E942AF">
        <w:rPr>
          <w:rFonts w:ascii="Arial" w:hAnsi="Arial" w:cs="Arial"/>
          <w:color w:val="000000"/>
          <w:bdr w:val="none" w:sz="0" w:space="0" w:color="auto" w:frame="1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IQ-EQ</w:t>
      </w:r>
      <w:r w:rsidRPr="00E942AF">
        <w:rPr>
          <w:rFonts w:ascii="Arial" w:hAnsi="Arial" w:cs="Arial"/>
          <w:color w:val="FF0000"/>
          <w:bdr w:val="none" w:sz="0" w:space="0" w:color="auto" w:frame="1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942AF">
        <w:rPr>
          <w:rFonts w:ascii="Arial" w:hAnsi="Arial" w:cs="Arial"/>
          <w:color w:val="000000"/>
          <w:bdr w:val="none" w:sz="0" w:space="0" w:color="auto" w:frame="1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is a leading investor services group that brings together a rare combination of global technical expertise and deep understanding of client needs. We have the know-how and the ‘know you’ to provide a comprehensive range of compliance, administration, asset and advisory services to fund managers, multinational companies, family offices and private clients operating worldwide.</w:t>
      </w:r>
    </w:p>
    <w:p w14:paraId="4E8D2E6A" w14:textId="77777777" w:rsidR="00D94B82" w:rsidRPr="00E942AF" w:rsidRDefault="00D94B82" w:rsidP="00D94B82">
      <w:pPr>
        <w:pStyle w:val="Body"/>
        <w:spacing w:after="160" w:line="276" w:lineRule="auto"/>
        <w:rPr>
          <w:rFonts w:ascii="Arial" w:hAnsi="Arial" w:cs="Arial"/>
          <w:color w:val="auto"/>
          <w:sz w:val="22"/>
          <w:szCs w:val="22"/>
        </w:rPr>
      </w:pPr>
      <w:r w:rsidRPr="00E942AF">
        <w:rPr>
          <w:rFonts w:ascii="Arial" w:hAnsi="Arial" w:cs="Arial"/>
          <w:color w:val="auto"/>
          <w:sz w:val="22"/>
          <w:szCs w:val="22"/>
        </w:rPr>
        <w:t xml:space="preserve">IQ-EQ employs a global workforce of 3,600+ people located in 24 jurisdictions and has assets under administration (AUA) exceeding US$500 billion. IQ-EQ works with 15 of the top 20 global private equity firms. </w:t>
      </w:r>
    </w:p>
    <w:p w14:paraId="193A7C77" w14:textId="795A4A04" w:rsidR="00D94B82" w:rsidRPr="00E942AF" w:rsidRDefault="00D94B82" w:rsidP="00D94B82">
      <w:pPr>
        <w:pStyle w:val="Body"/>
        <w:spacing w:after="160" w:line="276" w:lineRule="auto"/>
        <w:rPr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>Also part of the IQ-EQ</w:t>
      </w:r>
      <w:r w:rsidRPr="00E942AF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 xml:space="preserve"> </w:t>
      </w:r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group of companies are </w:t>
      </w:r>
      <w:hyperlink r:id="rId11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First National Trustee Company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(FNTC), </w:t>
      </w:r>
      <w:hyperlink r:id="rId12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Equitis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3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The Private Office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4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 xml:space="preserve">Peru </w:t>
        </w:r>
        <w:r w:rsidR="00B031F6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and</w:t>
        </w:r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 xml:space="preserve"> Partners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5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Blue River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6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 xml:space="preserve">Conseil Expertise </w:t>
        </w:r>
        <w:r w:rsidR="00B031F6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and</w:t>
        </w:r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 xml:space="preserve"> Synthèse</w:t>
        </w:r>
      </w:hyperlink>
      <w:r w:rsidRPr="00E942AF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7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Constellation Advisers</w:t>
        </w:r>
      </w:hyperlink>
      <w:r w:rsidRPr="00E942AF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hyperlink r:id="rId18" w:history="1">
        <w:r w:rsidRPr="00E94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Concord Trust Company</w:t>
        </w:r>
      </w:hyperlink>
      <w:r w:rsidRPr="00E942AF"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942AF">
        <w:rPr>
          <w:rFonts w:ascii="Arial" w:hAnsi="Arial" w:cs="Arial"/>
          <w:sz w:val="22"/>
          <w:szCs w:val="22"/>
        </w:rPr>
        <w:t xml:space="preserve">and newly acquired U.S. based </w:t>
      </w:r>
      <w:hyperlink r:id="rId19" w:history="1">
        <w:r w:rsidRPr="00E942AF">
          <w:rPr>
            <w:rStyle w:val="Hyperlink"/>
            <w:rFonts w:ascii="Arial" w:hAnsi="Arial" w:cs="Arial"/>
            <w:sz w:val="22"/>
            <w:szCs w:val="22"/>
          </w:rPr>
          <w:t>Greyline Partners, LLC</w:t>
        </w:r>
      </w:hyperlink>
      <w:r w:rsidRPr="00E942AF">
        <w:rPr>
          <w:rFonts w:ascii="Arial" w:hAnsi="Arial" w:cs="Arial"/>
          <w:sz w:val="22"/>
          <w:szCs w:val="22"/>
        </w:rPr>
        <w:t>.</w:t>
      </w:r>
    </w:p>
    <w:p w14:paraId="73C5A08B" w14:textId="77777777" w:rsidR="00D94B82" w:rsidRPr="00E942AF" w:rsidRDefault="00D94B82" w:rsidP="00D94B82">
      <w:pPr>
        <w:pStyle w:val="Body"/>
        <w:spacing w:after="160"/>
        <w:rPr>
          <w:rStyle w:val="Hyperlink0"/>
          <w:color w:val="auto"/>
          <w:sz w:val="22"/>
          <w:szCs w:val="22"/>
        </w:rPr>
      </w:pPr>
      <w:r w:rsidRPr="00E942AF">
        <w:rPr>
          <w:rFonts w:ascii="Arial" w:hAnsi="Arial" w:cs="Arial"/>
          <w:color w:val="auto"/>
          <w:sz w:val="22"/>
          <w:szCs w:val="22"/>
        </w:rPr>
        <w:t xml:space="preserve">To find out more about IQ-EQ visit </w:t>
      </w:r>
      <w:hyperlink r:id="rId20" w:history="1">
        <w:r w:rsidRPr="00E942AF">
          <w:rPr>
            <w:rStyle w:val="Hyperlink"/>
            <w:rFonts w:ascii="Arial" w:hAnsi="Arial" w:cs="Arial"/>
            <w:sz w:val="22"/>
            <w:szCs w:val="22"/>
          </w:rPr>
          <w:t>www.iqeq.com</w:t>
        </w:r>
      </w:hyperlink>
      <w:r w:rsidRPr="00E942AF">
        <w:rPr>
          <w:rFonts w:ascii="Arial" w:hAnsi="Arial" w:cs="Arial"/>
          <w:sz w:val="22"/>
          <w:szCs w:val="22"/>
        </w:rPr>
        <w:t>.</w:t>
      </w:r>
      <w:r w:rsidRPr="00E942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ACE0FD" w14:textId="77777777" w:rsidR="00D94B82" w:rsidRPr="00E942AF" w:rsidRDefault="00D94B82" w:rsidP="00D94B82">
      <w:pPr>
        <w:pStyle w:val="Body"/>
        <w:tabs>
          <w:tab w:val="left" w:pos="7190"/>
        </w:tabs>
        <w:spacing w:after="1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404AB7" w14:textId="77777777" w:rsidR="00D94B82" w:rsidRPr="00E942AF" w:rsidRDefault="00D94B82" w:rsidP="00D94B82">
      <w:pPr>
        <w:pStyle w:val="Body"/>
        <w:tabs>
          <w:tab w:val="left" w:pos="7190"/>
        </w:tabs>
        <w:spacing w:after="160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E942AF">
        <w:rPr>
          <w:rFonts w:ascii="Arial" w:hAnsi="Arial" w:cs="Arial"/>
          <w:b/>
          <w:bCs/>
          <w:color w:val="auto"/>
          <w:sz w:val="22"/>
          <w:szCs w:val="22"/>
        </w:rPr>
        <w:t>For further information on this announcement, please contact:</w:t>
      </w:r>
    </w:p>
    <w:p w14:paraId="0B7F0B40" w14:textId="6B6ADF21" w:rsidR="00D94B82" w:rsidRPr="00E942AF" w:rsidRDefault="00D94B82" w:rsidP="00D94B82">
      <w:pPr>
        <w:spacing w:line="240" w:lineRule="auto"/>
        <w:rPr>
          <w:rStyle w:val="Hyperlink"/>
          <w:rFonts w:ascii="Arial" w:hAnsi="Arial" w:cs="Arial"/>
        </w:rPr>
      </w:pPr>
      <w:r w:rsidRPr="00E942AF">
        <w:rPr>
          <w:rFonts w:ascii="Arial" w:hAnsi="Arial" w:cs="Arial"/>
        </w:rPr>
        <w:t xml:space="preserve">Alison Duffy, Group Head of Marketing </w:t>
      </w:r>
      <w:r w:rsidR="00B031F6">
        <w:rPr>
          <w:rFonts w:ascii="Arial" w:hAnsi="Arial" w:cs="Arial"/>
        </w:rPr>
        <w:t>and</w:t>
      </w:r>
      <w:r w:rsidRPr="00E942AF">
        <w:rPr>
          <w:rFonts w:ascii="Arial" w:hAnsi="Arial" w:cs="Arial"/>
        </w:rPr>
        <w:t xml:space="preserve"> Communications </w:t>
      </w:r>
      <w:r w:rsidRPr="00E942AF">
        <w:rPr>
          <w:rFonts w:ascii="Arial" w:hAnsi="Arial" w:cs="Arial"/>
        </w:rPr>
        <w:br/>
        <w:t xml:space="preserve">E: </w:t>
      </w:r>
      <w:hyperlink r:id="rId21" w:history="1">
        <w:r w:rsidRPr="00E942AF">
          <w:rPr>
            <w:rStyle w:val="Hyperlink"/>
            <w:rFonts w:ascii="Arial" w:hAnsi="Arial" w:cs="Arial"/>
          </w:rPr>
          <w:t>alison.duffy@iqeq.com</w:t>
        </w:r>
      </w:hyperlink>
      <w:r w:rsidRPr="00E942AF">
        <w:rPr>
          <w:rFonts w:ascii="Arial" w:hAnsi="Arial" w:cs="Arial"/>
        </w:rPr>
        <w:t xml:space="preserve"> </w:t>
      </w:r>
    </w:p>
    <w:p w14:paraId="23DF55A4" w14:textId="77777777" w:rsidR="00D94B82" w:rsidRPr="00195C0D" w:rsidRDefault="00D94B82" w:rsidP="00D94B82">
      <w:pPr>
        <w:spacing w:line="240" w:lineRule="auto"/>
        <w:rPr>
          <w:rFonts w:ascii="Arial" w:hAnsi="Arial" w:cs="Arial"/>
          <w:color w:val="0563C1" w:themeColor="hyperlink"/>
          <w:u w:val="single"/>
        </w:rPr>
      </w:pPr>
      <w:r w:rsidRPr="00E942AF">
        <w:rPr>
          <w:rFonts w:ascii="Arial" w:hAnsi="Arial" w:cs="Arial"/>
        </w:rPr>
        <w:t>Meghan Warren, Aspectus Group</w:t>
      </w:r>
      <w:r w:rsidRPr="00E942AF">
        <w:rPr>
          <w:rStyle w:val="Hyperlink"/>
          <w:rFonts w:ascii="Arial" w:hAnsi="Arial" w:cs="Arial"/>
        </w:rPr>
        <w:br/>
      </w:r>
      <w:r w:rsidRPr="00E942AF">
        <w:rPr>
          <w:rFonts w:ascii="Arial" w:hAnsi="Arial" w:cs="Arial"/>
        </w:rPr>
        <w:t xml:space="preserve">E:  </w:t>
      </w:r>
      <w:hyperlink r:id="rId22" w:history="1">
        <w:r w:rsidRPr="00E942AF">
          <w:rPr>
            <w:rStyle w:val="Hyperlink"/>
            <w:rFonts w:ascii="Arial" w:hAnsi="Arial" w:cs="Arial"/>
          </w:rPr>
          <w:t>meghan.warren@aspectusgroup.com</w:t>
        </w:r>
      </w:hyperlink>
      <w:r w:rsidRPr="00E942AF">
        <w:rPr>
          <w:rStyle w:val="Hyperlink"/>
          <w:rFonts w:ascii="Arial" w:hAnsi="Arial" w:cs="Arial"/>
        </w:rPr>
        <w:t xml:space="preserve">  </w:t>
      </w:r>
    </w:p>
    <w:bookmarkEnd w:id="0"/>
    <w:p w14:paraId="453DF378" w14:textId="77777777" w:rsidR="00F3216E" w:rsidRDefault="00F3216E"/>
    <w:sectPr w:rsidR="00F3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E2CF" w14:textId="77777777" w:rsidR="00783F31" w:rsidRDefault="00783F31">
      <w:pPr>
        <w:spacing w:after="0" w:line="240" w:lineRule="auto"/>
      </w:pPr>
      <w:r>
        <w:separator/>
      </w:r>
    </w:p>
  </w:endnote>
  <w:endnote w:type="continuationSeparator" w:id="0">
    <w:p w14:paraId="29D568F7" w14:textId="77777777" w:rsidR="00783F31" w:rsidRDefault="00783F31">
      <w:pPr>
        <w:spacing w:after="0" w:line="240" w:lineRule="auto"/>
      </w:pPr>
      <w:r>
        <w:continuationSeparator/>
      </w:r>
    </w:p>
  </w:endnote>
  <w:endnote w:type="continuationNotice" w:id="1">
    <w:p w14:paraId="601CF274" w14:textId="77777777" w:rsidR="00783F31" w:rsidRDefault="00783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9123" w14:textId="77777777" w:rsidR="00783F31" w:rsidRDefault="00783F31">
      <w:pPr>
        <w:spacing w:after="0" w:line="240" w:lineRule="auto"/>
      </w:pPr>
      <w:r>
        <w:separator/>
      </w:r>
    </w:p>
  </w:footnote>
  <w:footnote w:type="continuationSeparator" w:id="0">
    <w:p w14:paraId="07E32BB3" w14:textId="77777777" w:rsidR="00783F31" w:rsidRDefault="00783F31">
      <w:pPr>
        <w:spacing w:after="0" w:line="240" w:lineRule="auto"/>
      </w:pPr>
      <w:r>
        <w:continuationSeparator/>
      </w:r>
    </w:p>
  </w:footnote>
  <w:footnote w:type="continuationNotice" w:id="1">
    <w:p w14:paraId="557580C6" w14:textId="77777777" w:rsidR="00783F31" w:rsidRDefault="00783F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82"/>
    <w:rsid w:val="000B7BB4"/>
    <w:rsid w:val="002D6D97"/>
    <w:rsid w:val="00412115"/>
    <w:rsid w:val="004A77F0"/>
    <w:rsid w:val="005504E7"/>
    <w:rsid w:val="00603BED"/>
    <w:rsid w:val="00635F5B"/>
    <w:rsid w:val="00650A42"/>
    <w:rsid w:val="00681767"/>
    <w:rsid w:val="006D4552"/>
    <w:rsid w:val="006E105B"/>
    <w:rsid w:val="00736350"/>
    <w:rsid w:val="00745FFD"/>
    <w:rsid w:val="007767F1"/>
    <w:rsid w:val="00783F31"/>
    <w:rsid w:val="00825B5A"/>
    <w:rsid w:val="009F435B"/>
    <w:rsid w:val="00B031F6"/>
    <w:rsid w:val="00B32826"/>
    <w:rsid w:val="00B83EE7"/>
    <w:rsid w:val="00D94B82"/>
    <w:rsid w:val="00E130DF"/>
    <w:rsid w:val="00E1732F"/>
    <w:rsid w:val="00EE04E3"/>
    <w:rsid w:val="00F3216E"/>
    <w:rsid w:val="00F57CB9"/>
    <w:rsid w:val="1B7FF5F6"/>
    <w:rsid w:val="6A6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BF08"/>
  <w15:chartTrackingRefBased/>
  <w15:docId w15:val="{481380C9-4AF5-4ACC-81A2-91BB323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82"/>
  </w:style>
  <w:style w:type="character" w:styleId="CommentReference">
    <w:name w:val="annotation reference"/>
    <w:basedOn w:val="DefaultParagraphFont"/>
    <w:uiPriority w:val="99"/>
    <w:semiHidden/>
    <w:unhideWhenUsed/>
    <w:rsid w:val="00D9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8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B82"/>
    <w:rPr>
      <w:color w:val="0563C1" w:themeColor="hyperlink"/>
      <w:u w:val="single"/>
    </w:rPr>
  </w:style>
  <w:style w:type="paragraph" w:customStyle="1" w:styleId="Body">
    <w:name w:val="Body"/>
    <w:basedOn w:val="Normal"/>
    <w:rsid w:val="00D94B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D94B82"/>
    <w:rPr>
      <w:rFonts w:ascii="Arial" w:eastAsia="Arial" w:hAnsi="Arial" w:cs="Arial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5F5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2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privateoffice.co.uk/" TargetMode="External"/><Relationship Id="rId18" Type="http://schemas.openxmlformats.org/officeDocument/2006/relationships/hyperlink" Target="https://www.concordtrustcompan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ison.duffy@iqeq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quitis.fr/en/" TargetMode="External"/><Relationship Id="rId17" Type="http://schemas.openxmlformats.org/officeDocument/2006/relationships/hyperlink" Target="https://www.constellationadviser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synthese.com/" TargetMode="External"/><Relationship Id="rId20" Type="http://schemas.openxmlformats.org/officeDocument/2006/relationships/hyperlink" Target="http://www.iqeq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tc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lueriverpartnersllc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qeq.com/hybrid" TargetMode="External"/><Relationship Id="rId19" Type="http://schemas.openxmlformats.org/officeDocument/2006/relationships/hyperlink" Target="https://greyline.co/" TargetMode="External"/><Relationship Id="rId4" Type="http://schemas.openxmlformats.org/officeDocument/2006/relationships/styles" Target="styles.xml"/><Relationship Id="rId9" Type="http://schemas.openxmlformats.org/officeDocument/2006/relationships/hyperlink" Target="https://iqeq.com/hybrid" TargetMode="External"/><Relationship Id="rId14" Type="http://schemas.openxmlformats.org/officeDocument/2006/relationships/hyperlink" Target="http://www.peru-partners.com/en/" TargetMode="External"/><Relationship Id="rId22" Type="http://schemas.openxmlformats.org/officeDocument/2006/relationships/hyperlink" Target="mailto:meghan.warren@aspectu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176A0B2F3A40A12B12B0D6B70A2F" ma:contentTypeVersion="16" ma:contentTypeDescription="Create a new document." ma:contentTypeScope="" ma:versionID="90df9e16c9c85cb774da0cefde104399">
  <xsd:schema xmlns:xsd="http://www.w3.org/2001/XMLSchema" xmlns:xs="http://www.w3.org/2001/XMLSchema" xmlns:p="http://schemas.microsoft.com/office/2006/metadata/properties" xmlns:ns2="93f53bac-4fc1-4c48-a147-0a5d64e459ec" xmlns:ns3="ef9c3d7e-3cbf-4aee-b77f-4cbdc5348d2e" targetNamespace="http://schemas.microsoft.com/office/2006/metadata/properties" ma:root="true" ma:fieldsID="e7b57111ba8660a099de4d0f3521f2ad" ns2:_="" ns3:_="">
    <xsd:import namespace="93f53bac-4fc1-4c48-a147-0a5d64e459ec"/>
    <xsd:import namespace="ef9c3d7e-3cbf-4aee-b77f-4cbdc5348d2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bac-4fc1-4c48-a147-0a5d64e459e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3d7e-3cbf-4aee-b77f-4cbdc5348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93f53bac-4fc1-4c48-a147-0a5d64e459ec" xsi:nil="true"/>
    <MigrationWizIdPermissions xmlns="93f53bac-4fc1-4c48-a147-0a5d64e459ec" xsi:nil="true"/>
    <MigrationWizIdVersion xmlns="93f53bac-4fc1-4c48-a147-0a5d64e459ec" xsi:nil="true"/>
  </documentManagement>
</p:properties>
</file>

<file path=customXml/itemProps1.xml><?xml version="1.0" encoding="utf-8"?>
<ds:datastoreItem xmlns:ds="http://schemas.openxmlformats.org/officeDocument/2006/customXml" ds:itemID="{661D2D5E-0EE3-4A6D-95F6-96710552D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A5C26-58A8-4FE8-9D0C-5236670D6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53bac-4fc1-4c48-a147-0a5d64e459ec"/>
    <ds:schemaRef ds:uri="ef9c3d7e-3cbf-4aee-b77f-4cbdc534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D26EC-0ADC-449A-9192-1835634A7625}">
  <ds:schemaRefs>
    <ds:schemaRef ds:uri="http://schemas.microsoft.com/office/2006/metadata/properties"/>
    <ds:schemaRef ds:uri="http://schemas.microsoft.com/office/infopath/2007/PartnerControls"/>
    <ds:schemaRef ds:uri="93f53bac-4fc1-4c48-a147-0a5d64e45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Hong</dc:creator>
  <cp:keywords/>
  <dc:description/>
  <cp:lastModifiedBy>Aspectus</cp:lastModifiedBy>
  <cp:revision>2</cp:revision>
  <dcterms:created xsi:type="dcterms:W3CDTF">2022-01-20T11:32:00Z</dcterms:created>
  <dcterms:modified xsi:type="dcterms:W3CDTF">2022-01-20T11:32:00Z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0x010100AACE176A0B2F3A40A12B12B0D6B70A2F</vt:lpwstr>
  </property>
</Properties>
</file>