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68D7" w14:textId="77777777" w:rsidR="007D4E30" w:rsidRDefault="007D4E30"/>
    <w:p w14:paraId="3F6FCABC" w14:textId="77777777" w:rsidR="007D4E30" w:rsidRDefault="007D4E30">
      <w:pPr>
        <w:pBdr>
          <w:top w:val="nil"/>
          <w:left w:val="nil"/>
          <w:bottom w:val="nil"/>
          <w:right w:val="nil"/>
          <w:between w:val="nil"/>
        </w:pBdr>
        <w:rPr>
          <w:rFonts w:ascii="Arial Narrow" w:eastAsia="Arial Narrow" w:hAnsi="Arial Narrow" w:cs="Arial Narrow"/>
          <w:b/>
          <w:color w:val="000000"/>
          <w:sz w:val="22"/>
          <w:szCs w:val="22"/>
        </w:rPr>
      </w:pPr>
    </w:p>
    <w:p w14:paraId="3EC164D7" w14:textId="77777777" w:rsidR="007D4E30" w:rsidRDefault="00E9201B">
      <w:pPr>
        <w:pBdr>
          <w:top w:val="single" w:sz="8" w:space="1" w:color="DC6900"/>
        </w:pBdr>
        <w:spacing w:after="240"/>
        <w:rPr>
          <w:rFonts w:ascii="Georgia" w:eastAsia="Georgia" w:hAnsi="Georgia" w:cs="Georgia"/>
          <w:b/>
          <w:i/>
          <w:color w:val="000000"/>
          <w:sz w:val="20"/>
          <w:szCs w:val="20"/>
        </w:rPr>
      </w:pPr>
      <w:r>
        <w:rPr>
          <w:rFonts w:ascii="Georgia" w:eastAsia="Georgia" w:hAnsi="Georgia" w:cs="Georgia"/>
          <w:b/>
          <w:i/>
          <w:color w:val="000000"/>
          <w:sz w:val="20"/>
          <w:szCs w:val="20"/>
        </w:rPr>
        <w:t>Press release</w:t>
      </w:r>
    </w:p>
    <w:tbl>
      <w:tblPr>
        <w:tblStyle w:val="a"/>
        <w:tblW w:w="8910" w:type="dxa"/>
        <w:tblInd w:w="-115" w:type="dxa"/>
        <w:tblLayout w:type="fixed"/>
        <w:tblLook w:val="0000" w:firstRow="0" w:lastRow="0" w:firstColumn="0" w:lastColumn="0" w:noHBand="0" w:noVBand="0"/>
      </w:tblPr>
      <w:tblGrid>
        <w:gridCol w:w="2025"/>
        <w:gridCol w:w="6885"/>
      </w:tblGrid>
      <w:tr w:rsidR="007D4E30" w14:paraId="38199186" w14:textId="77777777">
        <w:trPr>
          <w:trHeight w:val="220"/>
        </w:trPr>
        <w:tc>
          <w:tcPr>
            <w:tcW w:w="2025" w:type="dxa"/>
            <w:shd w:val="clear" w:color="auto" w:fill="auto"/>
          </w:tcPr>
          <w:p w14:paraId="1C465E14" w14:textId="77777777" w:rsidR="007D4E30" w:rsidRDefault="007D4E30">
            <w:pPr>
              <w:rPr>
                <w:rFonts w:ascii="Georgia" w:eastAsia="Georgia" w:hAnsi="Georgia" w:cs="Georgia"/>
                <w:i/>
                <w:sz w:val="20"/>
                <w:szCs w:val="20"/>
              </w:rPr>
            </w:pPr>
          </w:p>
          <w:p w14:paraId="5293F42A" w14:textId="77777777" w:rsidR="007D4E30" w:rsidRDefault="00E9201B">
            <w:pPr>
              <w:rPr>
                <w:rFonts w:ascii="Georgia" w:eastAsia="Georgia" w:hAnsi="Georgia" w:cs="Georgia"/>
                <w:i/>
                <w:sz w:val="20"/>
                <w:szCs w:val="20"/>
              </w:rPr>
            </w:pPr>
            <w:r>
              <w:rPr>
                <w:rFonts w:ascii="Georgia" w:eastAsia="Georgia" w:hAnsi="Georgia" w:cs="Georgia"/>
                <w:i/>
                <w:sz w:val="20"/>
                <w:szCs w:val="20"/>
              </w:rPr>
              <w:t>Date</w:t>
            </w:r>
          </w:p>
        </w:tc>
        <w:tc>
          <w:tcPr>
            <w:tcW w:w="6885" w:type="dxa"/>
            <w:shd w:val="clear" w:color="auto" w:fill="auto"/>
          </w:tcPr>
          <w:p w14:paraId="110AD35D" w14:textId="77777777" w:rsidR="007D4E30" w:rsidRDefault="007D4E30">
            <w:pPr>
              <w:rPr>
                <w:rFonts w:ascii="Georgia" w:eastAsia="Georgia" w:hAnsi="Georgia" w:cs="Georgia"/>
                <w:sz w:val="20"/>
                <w:szCs w:val="20"/>
              </w:rPr>
            </w:pPr>
          </w:p>
          <w:p w14:paraId="675B6409" w14:textId="77777777" w:rsidR="007D4E30" w:rsidRDefault="00E9201B">
            <w:pPr>
              <w:tabs>
                <w:tab w:val="left" w:pos="1440"/>
              </w:tabs>
              <w:rPr>
                <w:rFonts w:ascii="Georgia" w:eastAsia="Georgia" w:hAnsi="Georgia" w:cs="Georgia"/>
                <w:sz w:val="20"/>
                <w:szCs w:val="20"/>
              </w:rPr>
            </w:pPr>
            <w:r>
              <w:rPr>
                <w:rFonts w:ascii="Georgia" w:eastAsia="Georgia" w:hAnsi="Georgia" w:cs="Georgia"/>
                <w:sz w:val="20"/>
                <w:szCs w:val="20"/>
              </w:rPr>
              <w:t>25.10.</w:t>
            </w:r>
            <w:r>
              <w:rPr>
                <w:rFonts w:ascii="Georgia" w:eastAsia="Georgia" w:hAnsi="Georgia" w:cs="Georgia"/>
                <w:color w:val="000000"/>
                <w:sz w:val="20"/>
                <w:szCs w:val="20"/>
              </w:rPr>
              <w:t>20</w:t>
            </w:r>
            <w:r>
              <w:rPr>
                <w:rFonts w:ascii="Georgia" w:eastAsia="Georgia" w:hAnsi="Georgia" w:cs="Georgia"/>
                <w:sz w:val="20"/>
                <w:szCs w:val="20"/>
              </w:rPr>
              <w:t xml:space="preserve">22 </w:t>
            </w:r>
          </w:p>
        </w:tc>
      </w:tr>
      <w:tr w:rsidR="007D4E30" w14:paraId="2896A97D" w14:textId="77777777">
        <w:trPr>
          <w:trHeight w:val="1000"/>
        </w:trPr>
        <w:tc>
          <w:tcPr>
            <w:tcW w:w="2025" w:type="dxa"/>
            <w:shd w:val="clear" w:color="auto" w:fill="auto"/>
          </w:tcPr>
          <w:p w14:paraId="47F09CDE" w14:textId="77777777" w:rsidR="007D4E30" w:rsidRDefault="007D4E30">
            <w:pPr>
              <w:rPr>
                <w:rFonts w:ascii="Georgia" w:eastAsia="Georgia" w:hAnsi="Georgia" w:cs="Georgia"/>
                <w:i/>
                <w:sz w:val="20"/>
                <w:szCs w:val="20"/>
              </w:rPr>
            </w:pPr>
          </w:p>
          <w:p w14:paraId="74BECCA8" w14:textId="77777777" w:rsidR="007D4E30" w:rsidRDefault="00E9201B">
            <w:pPr>
              <w:rPr>
                <w:rFonts w:ascii="Georgia" w:eastAsia="Georgia" w:hAnsi="Georgia" w:cs="Georgia"/>
                <w:i/>
                <w:sz w:val="20"/>
                <w:szCs w:val="20"/>
              </w:rPr>
            </w:pPr>
            <w:r>
              <w:rPr>
                <w:rFonts w:ascii="Georgia" w:eastAsia="Georgia" w:hAnsi="Georgia" w:cs="Georgia"/>
                <w:i/>
                <w:sz w:val="20"/>
                <w:szCs w:val="20"/>
              </w:rPr>
              <w:t>Contact</w:t>
            </w:r>
          </w:p>
          <w:p w14:paraId="56BE4B55" w14:textId="77777777" w:rsidR="007D4E30" w:rsidRDefault="007D4E30">
            <w:pPr>
              <w:rPr>
                <w:rFonts w:ascii="Georgia" w:eastAsia="Georgia" w:hAnsi="Georgia" w:cs="Georgia"/>
                <w:sz w:val="20"/>
                <w:szCs w:val="20"/>
              </w:rPr>
            </w:pPr>
          </w:p>
          <w:p w14:paraId="5D5CD0EC" w14:textId="77777777" w:rsidR="007D4E30" w:rsidRDefault="007D4E30">
            <w:pPr>
              <w:rPr>
                <w:rFonts w:ascii="Georgia" w:eastAsia="Georgia" w:hAnsi="Georgia" w:cs="Georgia"/>
                <w:sz w:val="20"/>
                <w:szCs w:val="20"/>
              </w:rPr>
            </w:pPr>
          </w:p>
          <w:p w14:paraId="4CC7CDCB" w14:textId="77777777" w:rsidR="007D4E30" w:rsidRDefault="007D4E30">
            <w:pPr>
              <w:rPr>
                <w:rFonts w:ascii="Georgia" w:eastAsia="Georgia" w:hAnsi="Georgia" w:cs="Georgia"/>
                <w:i/>
                <w:sz w:val="20"/>
                <w:szCs w:val="20"/>
              </w:rPr>
            </w:pPr>
          </w:p>
          <w:p w14:paraId="282EB958" w14:textId="77777777" w:rsidR="007D4E30" w:rsidRDefault="007D4E30">
            <w:pPr>
              <w:rPr>
                <w:rFonts w:ascii="Georgia" w:eastAsia="Georgia" w:hAnsi="Georgia" w:cs="Georgia"/>
                <w:sz w:val="20"/>
                <w:szCs w:val="20"/>
              </w:rPr>
            </w:pPr>
          </w:p>
        </w:tc>
        <w:tc>
          <w:tcPr>
            <w:tcW w:w="6885" w:type="dxa"/>
            <w:shd w:val="clear" w:color="auto" w:fill="auto"/>
          </w:tcPr>
          <w:p w14:paraId="23891B38" w14:textId="77777777" w:rsidR="007D4E30" w:rsidRPr="00D34893" w:rsidRDefault="007D4E30">
            <w:pPr>
              <w:tabs>
                <w:tab w:val="left" w:pos="1440"/>
              </w:tabs>
              <w:rPr>
                <w:rFonts w:ascii="Georgia" w:eastAsia="Georgia" w:hAnsi="Georgia" w:cs="Georgia"/>
                <w:color w:val="000000"/>
                <w:sz w:val="20"/>
                <w:szCs w:val="20"/>
                <w:lang w:val="fr-CH"/>
              </w:rPr>
            </w:pPr>
          </w:p>
          <w:p w14:paraId="5DE5FA4D" w14:textId="77777777" w:rsidR="007D4E30" w:rsidRPr="00D34893" w:rsidRDefault="00E9201B">
            <w:pPr>
              <w:tabs>
                <w:tab w:val="left" w:pos="1440"/>
              </w:tabs>
              <w:rPr>
                <w:rFonts w:ascii="Georgia" w:eastAsia="Georgia" w:hAnsi="Georgia" w:cs="Georgia"/>
                <w:sz w:val="20"/>
                <w:szCs w:val="20"/>
                <w:lang w:val="fr-CH"/>
              </w:rPr>
            </w:pPr>
            <w:r w:rsidRPr="00D34893">
              <w:rPr>
                <w:rFonts w:ascii="Georgia" w:eastAsia="Georgia" w:hAnsi="Georgia" w:cs="Georgia"/>
                <w:sz w:val="20"/>
                <w:szCs w:val="20"/>
                <w:lang w:val="fr-CH"/>
              </w:rPr>
              <w:t>Pauline André</w:t>
            </w:r>
          </w:p>
          <w:p w14:paraId="5AC03656" w14:textId="77777777" w:rsidR="007D4E30" w:rsidRPr="00D34893" w:rsidRDefault="00E9201B">
            <w:pPr>
              <w:tabs>
                <w:tab w:val="left" w:pos="1440"/>
              </w:tabs>
              <w:rPr>
                <w:rFonts w:ascii="Georgia" w:eastAsia="Georgia" w:hAnsi="Georgia" w:cs="Georgia"/>
                <w:sz w:val="20"/>
                <w:szCs w:val="20"/>
                <w:lang w:val="fr-CH"/>
              </w:rPr>
            </w:pPr>
            <w:r w:rsidRPr="00D34893">
              <w:rPr>
                <w:rFonts w:ascii="Georgia" w:eastAsia="Georgia" w:hAnsi="Georgia" w:cs="Georgia"/>
                <w:sz w:val="20"/>
                <w:szCs w:val="20"/>
                <w:lang w:val="fr-CH"/>
              </w:rPr>
              <w:t>+(352) 621 333 582</w:t>
            </w:r>
          </w:p>
          <w:p w14:paraId="1AF15D55" w14:textId="77777777" w:rsidR="007D4E30" w:rsidRPr="00D34893" w:rsidRDefault="00E9201B">
            <w:pPr>
              <w:tabs>
                <w:tab w:val="left" w:pos="1440"/>
              </w:tabs>
              <w:rPr>
                <w:rFonts w:ascii="Georgia" w:eastAsia="Georgia" w:hAnsi="Georgia" w:cs="Georgia"/>
                <w:color w:val="0000FF"/>
                <w:sz w:val="20"/>
                <w:szCs w:val="20"/>
                <w:lang w:val="fr-CH"/>
              </w:rPr>
            </w:pPr>
            <w:hyperlink r:id="rId7">
              <w:r w:rsidRPr="00D34893">
                <w:rPr>
                  <w:rFonts w:ascii="Georgia" w:eastAsia="Georgia" w:hAnsi="Georgia" w:cs="Georgia"/>
                  <w:color w:val="0000FF"/>
                  <w:sz w:val="20"/>
                  <w:szCs w:val="20"/>
                  <w:u w:val="single"/>
                  <w:lang w:val="fr-CH"/>
                </w:rPr>
                <w:t>pauline.andre@pwc.com</w:t>
              </w:r>
            </w:hyperlink>
          </w:p>
          <w:p w14:paraId="3896426C" w14:textId="77777777" w:rsidR="007D4E30" w:rsidRPr="00D34893" w:rsidRDefault="007D4E30">
            <w:pPr>
              <w:tabs>
                <w:tab w:val="left" w:pos="1440"/>
              </w:tabs>
              <w:rPr>
                <w:rFonts w:ascii="Georgia" w:eastAsia="Georgia" w:hAnsi="Georgia" w:cs="Georgia"/>
                <w:color w:val="000000"/>
                <w:sz w:val="20"/>
                <w:szCs w:val="20"/>
                <w:lang w:val="fr-CH"/>
              </w:rPr>
            </w:pPr>
          </w:p>
          <w:p w14:paraId="777EFA14" w14:textId="77777777" w:rsidR="007D4E30" w:rsidRDefault="00E9201B">
            <w:pPr>
              <w:tabs>
                <w:tab w:val="left" w:pos="1440"/>
              </w:tabs>
              <w:rPr>
                <w:rFonts w:ascii="Georgia" w:eastAsia="Georgia" w:hAnsi="Georgia" w:cs="Georgia"/>
                <w:color w:val="000000"/>
                <w:sz w:val="20"/>
                <w:szCs w:val="20"/>
              </w:rPr>
            </w:pPr>
            <w:r>
              <w:rPr>
                <w:rFonts w:ascii="Georgia" w:eastAsia="Georgia" w:hAnsi="Georgia" w:cs="Georgia"/>
                <w:color w:val="000000"/>
                <w:sz w:val="20"/>
                <w:szCs w:val="20"/>
              </w:rPr>
              <w:t>Mary Carey</w:t>
            </w:r>
          </w:p>
          <w:p w14:paraId="5D4CD118" w14:textId="77777777" w:rsidR="007D4E30" w:rsidRDefault="00E9201B">
            <w:pPr>
              <w:tabs>
                <w:tab w:val="left" w:pos="1440"/>
              </w:tabs>
              <w:rPr>
                <w:rFonts w:ascii="Georgia" w:eastAsia="Georgia" w:hAnsi="Georgia" w:cs="Georgia"/>
                <w:sz w:val="20"/>
                <w:szCs w:val="20"/>
              </w:rPr>
            </w:pPr>
            <w:r>
              <w:rPr>
                <w:rFonts w:ascii="Georgia" w:eastAsia="Georgia" w:hAnsi="Georgia" w:cs="Georgia"/>
                <w:color w:val="000000"/>
                <w:sz w:val="20"/>
                <w:szCs w:val="20"/>
              </w:rPr>
              <w:t xml:space="preserve">(+352) </w:t>
            </w:r>
            <w:r>
              <w:rPr>
                <w:rFonts w:ascii="Georgia" w:eastAsia="Georgia" w:hAnsi="Georgia" w:cs="Georgia"/>
                <w:sz w:val="20"/>
                <w:szCs w:val="20"/>
              </w:rPr>
              <w:t>621</w:t>
            </w:r>
            <w:r>
              <w:rPr>
                <w:rFonts w:ascii="Georgia" w:eastAsia="Georgia" w:hAnsi="Georgia" w:cs="Georgia"/>
                <w:color w:val="000000"/>
                <w:sz w:val="20"/>
                <w:szCs w:val="20"/>
              </w:rPr>
              <w:t xml:space="preserve"> </w:t>
            </w:r>
            <w:r>
              <w:rPr>
                <w:rFonts w:ascii="Georgia" w:eastAsia="Georgia" w:hAnsi="Georgia" w:cs="Georgia"/>
                <w:sz w:val="20"/>
                <w:szCs w:val="20"/>
              </w:rPr>
              <w:t>332</w:t>
            </w:r>
            <w:r>
              <w:rPr>
                <w:rFonts w:ascii="Georgia" w:eastAsia="Georgia" w:hAnsi="Georgia" w:cs="Georgia"/>
                <w:color w:val="000000"/>
                <w:sz w:val="20"/>
                <w:szCs w:val="20"/>
              </w:rPr>
              <w:t xml:space="preserve"> </w:t>
            </w:r>
            <w:r>
              <w:rPr>
                <w:rFonts w:ascii="Georgia" w:eastAsia="Georgia" w:hAnsi="Georgia" w:cs="Georgia"/>
                <w:sz w:val="20"/>
                <w:szCs w:val="20"/>
              </w:rPr>
              <w:t>863</w:t>
            </w:r>
          </w:p>
          <w:p w14:paraId="66FE5B0F" w14:textId="77777777" w:rsidR="007D4E30" w:rsidRDefault="00E9201B">
            <w:pPr>
              <w:tabs>
                <w:tab w:val="left" w:pos="1440"/>
              </w:tabs>
              <w:rPr>
                <w:rFonts w:ascii="Georgia" w:eastAsia="Georgia" w:hAnsi="Georgia" w:cs="Georgia"/>
                <w:color w:val="0000FF"/>
                <w:sz w:val="20"/>
                <w:szCs w:val="20"/>
                <w:u w:val="single"/>
              </w:rPr>
            </w:pPr>
            <w:hyperlink r:id="rId8">
              <w:r>
                <w:rPr>
                  <w:rFonts w:ascii="Georgia" w:eastAsia="Georgia" w:hAnsi="Georgia" w:cs="Georgia"/>
                  <w:color w:val="0000FF"/>
                  <w:sz w:val="20"/>
                  <w:szCs w:val="20"/>
                  <w:u w:val="single"/>
                </w:rPr>
                <w:t>mary.carey@pwc.com</w:t>
              </w:r>
            </w:hyperlink>
            <w:r>
              <w:rPr>
                <w:rFonts w:ascii="Georgia" w:eastAsia="Georgia" w:hAnsi="Georgia" w:cs="Georgia"/>
                <w:color w:val="0000FF"/>
                <w:sz w:val="20"/>
                <w:szCs w:val="20"/>
                <w:u w:val="single"/>
              </w:rPr>
              <w:t xml:space="preserve">   </w:t>
            </w:r>
          </w:p>
          <w:p w14:paraId="46F84A61" w14:textId="77777777" w:rsidR="007D4E30" w:rsidRDefault="007D4E30">
            <w:pPr>
              <w:tabs>
                <w:tab w:val="left" w:pos="1440"/>
              </w:tabs>
              <w:rPr>
                <w:rFonts w:ascii="Georgia" w:eastAsia="Georgia" w:hAnsi="Georgia" w:cs="Georgia"/>
                <w:sz w:val="20"/>
                <w:szCs w:val="20"/>
              </w:rPr>
            </w:pPr>
          </w:p>
          <w:p w14:paraId="3E4A55B6" w14:textId="77777777" w:rsidR="007D4E30" w:rsidRDefault="00E9201B">
            <w:pPr>
              <w:rPr>
                <w:rFonts w:ascii="Georgia" w:eastAsia="Georgia" w:hAnsi="Georgia" w:cs="Georgia"/>
                <w:color w:val="0000FF"/>
                <w:sz w:val="20"/>
                <w:szCs w:val="20"/>
                <w:u w:val="single"/>
              </w:rPr>
            </w:pPr>
            <w:r>
              <w:rPr>
                <w:rFonts w:ascii="Georgia" w:eastAsia="Georgia" w:hAnsi="Georgia" w:cs="Georgia"/>
                <w:sz w:val="20"/>
                <w:szCs w:val="20"/>
              </w:rPr>
              <w:t xml:space="preserve">For more details, contact us at </w:t>
            </w:r>
            <w:hyperlink r:id="rId9">
              <w:r>
                <w:rPr>
                  <w:rFonts w:ascii="Georgia" w:eastAsia="Georgia" w:hAnsi="Georgia" w:cs="Georgia"/>
                  <w:color w:val="0000FF"/>
                  <w:sz w:val="20"/>
                  <w:szCs w:val="20"/>
                  <w:u w:val="single"/>
                </w:rPr>
                <w:t>lu_press@pwc.com</w:t>
              </w:r>
            </w:hyperlink>
            <w:r>
              <w:rPr>
                <w:rFonts w:ascii="Georgia" w:eastAsia="Georgia" w:hAnsi="Georgia" w:cs="Georgia"/>
                <w:color w:val="0000FF"/>
                <w:sz w:val="20"/>
                <w:szCs w:val="20"/>
              </w:rPr>
              <w:t xml:space="preserve"> </w:t>
            </w:r>
          </w:p>
          <w:p w14:paraId="44C7053A" w14:textId="77777777" w:rsidR="007D4E30" w:rsidRDefault="007D4E30">
            <w:pPr>
              <w:rPr>
                <w:rFonts w:ascii="Georgia" w:eastAsia="Georgia" w:hAnsi="Georgia" w:cs="Georgia"/>
                <w:sz w:val="20"/>
                <w:szCs w:val="20"/>
              </w:rPr>
            </w:pPr>
          </w:p>
          <w:p w14:paraId="2220614E" w14:textId="77777777" w:rsidR="007D4E30" w:rsidRDefault="00E9201B">
            <w:pPr>
              <w:tabs>
                <w:tab w:val="left" w:pos="1440"/>
              </w:tabs>
              <w:rPr>
                <w:rFonts w:ascii="Georgia" w:eastAsia="Georgia" w:hAnsi="Georgia" w:cs="Georgia"/>
                <w:color w:val="0000FF"/>
                <w:sz w:val="20"/>
                <w:szCs w:val="20"/>
                <w:u w:val="single"/>
              </w:rPr>
            </w:pPr>
            <w:r>
              <w:rPr>
                <w:rFonts w:ascii="Georgia" w:eastAsia="Georgia" w:hAnsi="Georgia" w:cs="Georgia"/>
                <w:sz w:val="20"/>
                <w:szCs w:val="20"/>
              </w:rPr>
              <w:t xml:space="preserve">Follow us on Twitter: </w:t>
            </w:r>
            <w:hyperlink r:id="rId10">
              <w:r>
                <w:rPr>
                  <w:rFonts w:ascii="Georgia" w:eastAsia="Georgia" w:hAnsi="Georgia" w:cs="Georgia"/>
                  <w:color w:val="0000FF"/>
                  <w:sz w:val="20"/>
                  <w:szCs w:val="20"/>
                  <w:u w:val="single"/>
                </w:rPr>
                <w:t>@PwC Luxembourg</w:t>
              </w:r>
            </w:hyperlink>
          </w:p>
          <w:p w14:paraId="4F41C201" w14:textId="77777777" w:rsidR="007D4E30" w:rsidRDefault="007D4E30">
            <w:pPr>
              <w:tabs>
                <w:tab w:val="left" w:pos="1440"/>
              </w:tabs>
              <w:rPr>
                <w:rFonts w:ascii="Georgia" w:eastAsia="Georgia" w:hAnsi="Georgia" w:cs="Georgia"/>
                <w:color w:val="000000"/>
                <w:sz w:val="20"/>
                <w:szCs w:val="20"/>
              </w:rPr>
            </w:pPr>
          </w:p>
          <w:p w14:paraId="28BC83F2" w14:textId="77777777" w:rsidR="007D4E30" w:rsidRDefault="00E9201B">
            <w:pPr>
              <w:tabs>
                <w:tab w:val="left" w:pos="1440"/>
              </w:tabs>
              <w:rPr>
                <w:rFonts w:ascii="Georgia" w:eastAsia="Georgia" w:hAnsi="Georgia" w:cs="Georgia"/>
                <w:color w:val="0000FF"/>
                <w:sz w:val="20"/>
                <w:szCs w:val="20"/>
                <w:u w:val="single"/>
              </w:rPr>
            </w:pPr>
            <w:r>
              <w:rPr>
                <w:rFonts w:ascii="Georgia" w:eastAsia="Georgia" w:hAnsi="Georgia" w:cs="Georgia"/>
                <w:color w:val="000000"/>
                <w:sz w:val="20"/>
                <w:szCs w:val="20"/>
              </w:rPr>
              <w:t>Fol</w:t>
            </w:r>
            <w:r>
              <w:rPr>
                <w:rFonts w:ascii="Georgia" w:eastAsia="Georgia" w:hAnsi="Georgia" w:cs="Georgia"/>
                <w:color w:val="000000"/>
                <w:sz w:val="20"/>
                <w:szCs w:val="20"/>
              </w:rPr>
              <w:t xml:space="preserve">low us on LinkedIn: </w:t>
            </w:r>
            <w:hyperlink r:id="rId11">
              <w:r>
                <w:rPr>
                  <w:rFonts w:ascii="Georgia" w:eastAsia="Georgia" w:hAnsi="Georgia" w:cs="Georgia"/>
                  <w:color w:val="0000FF"/>
                  <w:sz w:val="20"/>
                  <w:szCs w:val="20"/>
                  <w:u w:val="single"/>
                </w:rPr>
                <w:t>www.linkedin.com/company/pwc-luxembourg</w:t>
              </w:r>
            </w:hyperlink>
          </w:p>
          <w:p w14:paraId="631E9DC0" w14:textId="77777777" w:rsidR="007D4E30" w:rsidRDefault="00E9201B">
            <w:pPr>
              <w:tabs>
                <w:tab w:val="left" w:pos="1440"/>
              </w:tabs>
              <w:rPr>
                <w:rFonts w:ascii="Georgia" w:eastAsia="Georgia" w:hAnsi="Georgia" w:cs="Georgia"/>
                <w:color w:val="000000"/>
                <w:sz w:val="20"/>
                <w:szCs w:val="20"/>
              </w:rPr>
            </w:pPr>
            <w:r>
              <w:rPr>
                <w:rFonts w:ascii="Georgia" w:eastAsia="Georgia" w:hAnsi="Georgia" w:cs="Georgia"/>
                <w:sz w:val="20"/>
                <w:szCs w:val="20"/>
              </w:rPr>
              <w:t xml:space="preserve">       </w:t>
            </w:r>
          </w:p>
        </w:tc>
      </w:tr>
      <w:tr w:rsidR="007D4E30" w14:paraId="3712CB67" w14:textId="77777777">
        <w:trPr>
          <w:trHeight w:val="60"/>
        </w:trPr>
        <w:tc>
          <w:tcPr>
            <w:tcW w:w="2025" w:type="dxa"/>
            <w:shd w:val="clear" w:color="auto" w:fill="auto"/>
          </w:tcPr>
          <w:p w14:paraId="36F0F8FA" w14:textId="77777777" w:rsidR="007D4E30" w:rsidRDefault="00E9201B">
            <w:pPr>
              <w:rPr>
                <w:rFonts w:ascii="Georgia" w:eastAsia="Georgia" w:hAnsi="Georgia" w:cs="Georgia"/>
                <w:i/>
                <w:sz w:val="20"/>
                <w:szCs w:val="20"/>
              </w:rPr>
            </w:pPr>
            <w:r>
              <w:rPr>
                <w:rFonts w:ascii="Georgia" w:eastAsia="Georgia" w:hAnsi="Georgia" w:cs="Georgia"/>
                <w:i/>
                <w:sz w:val="20"/>
                <w:szCs w:val="20"/>
              </w:rPr>
              <w:t xml:space="preserve">Pages </w:t>
            </w:r>
          </w:p>
        </w:tc>
        <w:tc>
          <w:tcPr>
            <w:tcW w:w="6885" w:type="dxa"/>
            <w:shd w:val="clear" w:color="auto" w:fill="auto"/>
          </w:tcPr>
          <w:p w14:paraId="558C5D1F" w14:textId="77777777" w:rsidR="007D4E30" w:rsidRDefault="00E9201B">
            <w:pPr>
              <w:rPr>
                <w:rFonts w:ascii="Georgia" w:eastAsia="Georgia" w:hAnsi="Georgia" w:cs="Georgia"/>
                <w:sz w:val="20"/>
                <w:szCs w:val="20"/>
              </w:rPr>
            </w:pPr>
            <w:r>
              <w:rPr>
                <w:rFonts w:ascii="Georgia" w:eastAsia="Georgia" w:hAnsi="Georgia" w:cs="Georgia"/>
                <w:sz w:val="20"/>
                <w:szCs w:val="20"/>
              </w:rPr>
              <w:t>4</w:t>
            </w:r>
          </w:p>
          <w:p w14:paraId="04DD40FD" w14:textId="77777777" w:rsidR="007D4E30" w:rsidRDefault="007D4E30">
            <w:pPr>
              <w:rPr>
                <w:rFonts w:ascii="Georgia" w:eastAsia="Georgia" w:hAnsi="Georgia" w:cs="Georgia"/>
                <w:sz w:val="20"/>
                <w:szCs w:val="20"/>
              </w:rPr>
            </w:pPr>
          </w:p>
        </w:tc>
      </w:tr>
    </w:tbl>
    <w:p w14:paraId="67120FAC" w14:textId="77777777" w:rsidR="007D4E30" w:rsidRDefault="007D4E30">
      <w:pPr>
        <w:pBdr>
          <w:top w:val="single" w:sz="8" w:space="1" w:color="DC6900"/>
        </w:pBdr>
        <w:tabs>
          <w:tab w:val="left" w:pos="1394"/>
        </w:tabs>
        <w:rPr>
          <w:rFonts w:ascii="Georgia" w:eastAsia="Georgia" w:hAnsi="Georgia" w:cs="Georgia"/>
          <w:b/>
          <w:i/>
          <w:color w:val="000000"/>
        </w:rPr>
      </w:pPr>
    </w:p>
    <w:p w14:paraId="3AF030D9" w14:textId="77777777" w:rsidR="007D4E30" w:rsidRDefault="00E9201B">
      <w:pPr>
        <w:pBdr>
          <w:top w:val="nil"/>
          <w:left w:val="nil"/>
          <w:bottom w:val="nil"/>
          <w:right w:val="nil"/>
          <w:between w:val="nil"/>
        </w:pBdr>
        <w:jc w:val="center"/>
        <w:rPr>
          <w:rFonts w:ascii="Georgia" w:eastAsia="Georgia" w:hAnsi="Georgia" w:cs="Georgia"/>
          <w:b/>
          <w:i/>
        </w:rPr>
      </w:pPr>
      <w:bookmarkStart w:id="0" w:name="_26lquiz4vrid" w:colFirst="0" w:colLast="0"/>
      <w:bookmarkEnd w:id="0"/>
      <w:r>
        <w:rPr>
          <w:rFonts w:ascii="Georgia" w:eastAsia="Georgia" w:hAnsi="Georgia" w:cs="Georgia"/>
          <w:b/>
          <w:i/>
        </w:rPr>
        <w:t>PwC Luxembourg Annual Review 2022: Progressing on our ambitions to build trust and deliver on sustained outcomes</w:t>
      </w:r>
    </w:p>
    <w:p w14:paraId="2B8EB5DF" w14:textId="77777777" w:rsidR="007D4E30" w:rsidRDefault="007D4E30">
      <w:pPr>
        <w:pBdr>
          <w:top w:val="nil"/>
          <w:left w:val="nil"/>
          <w:bottom w:val="nil"/>
          <w:right w:val="nil"/>
          <w:between w:val="nil"/>
        </w:pBdr>
        <w:jc w:val="center"/>
        <w:rPr>
          <w:rFonts w:ascii="Georgia" w:eastAsia="Georgia" w:hAnsi="Georgia" w:cs="Georgia"/>
          <w:sz w:val="20"/>
          <w:szCs w:val="20"/>
        </w:rPr>
      </w:pPr>
      <w:bookmarkStart w:id="1" w:name="_907ux9f3jnp5" w:colFirst="0" w:colLast="0"/>
      <w:bookmarkEnd w:id="1"/>
    </w:p>
    <w:p w14:paraId="1CE3F8F7" w14:textId="77777777" w:rsidR="007D4E30" w:rsidRDefault="007D4E30">
      <w:pPr>
        <w:pBdr>
          <w:top w:val="nil"/>
          <w:left w:val="nil"/>
          <w:bottom w:val="nil"/>
          <w:right w:val="nil"/>
          <w:between w:val="nil"/>
        </w:pBdr>
        <w:rPr>
          <w:rFonts w:ascii="Georgia" w:eastAsia="Georgia" w:hAnsi="Georgia" w:cs="Georgia"/>
          <w:sz w:val="20"/>
          <w:szCs w:val="20"/>
        </w:rPr>
      </w:pPr>
      <w:bookmarkStart w:id="2" w:name="_4uzldzlsdygq" w:colFirst="0" w:colLast="0"/>
      <w:bookmarkEnd w:id="2"/>
    </w:p>
    <w:p w14:paraId="70D2E41C" w14:textId="77777777" w:rsidR="007D4E30" w:rsidRDefault="00E9201B">
      <w:pPr>
        <w:numPr>
          <w:ilvl w:val="0"/>
          <w:numId w:val="1"/>
        </w:numPr>
        <w:rPr>
          <w:rFonts w:ascii="Georgia" w:eastAsia="Georgia" w:hAnsi="Georgia" w:cs="Georgia"/>
          <w:b/>
          <w:sz w:val="20"/>
          <w:szCs w:val="20"/>
        </w:rPr>
      </w:pPr>
      <w:r>
        <w:rPr>
          <w:rFonts w:ascii="Georgia" w:eastAsia="Georgia" w:hAnsi="Georgia" w:cs="Georgia"/>
          <w:b/>
          <w:sz w:val="20"/>
          <w:szCs w:val="20"/>
        </w:rPr>
        <w:t>11 % growth for the fiscal year ending June 30,2022, with a record turnover of EUR 543.3M, pushing PwC Luxembourg past the half-billion ma</w:t>
      </w:r>
      <w:r>
        <w:rPr>
          <w:rFonts w:ascii="Georgia" w:eastAsia="Georgia" w:hAnsi="Georgia" w:cs="Georgia"/>
          <w:b/>
          <w:sz w:val="20"/>
          <w:szCs w:val="20"/>
        </w:rPr>
        <w:t xml:space="preserve">rk </w:t>
      </w:r>
    </w:p>
    <w:p w14:paraId="6585F1D8" w14:textId="77777777" w:rsidR="007D4E30" w:rsidRDefault="00E9201B">
      <w:pPr>
        <w:numPr>
          <w:ilvl w:val="0"/>
          <w:numId w:val="1"/>
        </w:numPr>
        <w:rPr>
          <w:rFonts w:ascii="Georgia" w:eastAsia="Georgia" w:hAnsi="Georgia" w:cs="Georgia"/>
          <w:b/>
          <w:sz w:val="20"/>
          <w:szCs w:val="20"/>
        </w:rPr>
      </w:pPr>
      <w:r>
        <w:rPr>
          <w:rFonts w:ascii="Georgia" w:eastAsia="Georgia" w:hAnsi="Georgia" w:cs="Georgia"/>
          <w:b/>
          <w:sz w:val="20"/>
          <w:szCs w:val="20"/>
        </w:rPr>
        <w:t>Growth per Line of Service: Advisory: +13.9% , Assurance: +10.6%, Tax: +9.0%</w:t>
      </w:r>
    </w:p>
    <w:p w14:paraId="5E9BC60E" w14:textId="77777777" w:rsidR="007D4E30" w:rsidRDefault="00E9201B">
      <w:pPr>
        <w:numPr>
          <w:ilvl w:val="0"/>
          <w:numId w:val="1"/>
        </w:numPr>
        <w:rPr>
          <w:rFonts w:ascii="Georgia" w:eastAsia="Georgia" w:hAnsi="Georgia" w:cs="Georgia"/>
          <w:b/>
          <w:sz w:val="20"/>
          <w:szCs w:val="20"/>
        </w:rPr>
      </w:pPr>
      <w:r>
        <w:rPr>
          <w:rFonts w:ascii="Georgia" w:eastAsia="Georgia" w:hAnsi="Georgia" w:cs="Georgia"/>
          <w:b/>
          <w:sz w:val="20"/>
          <w:szCs w:val="20"/>
        </w:rPr>
        <w:t>3rd year of our Annual Review using WEF-IBC as a framework</w:t>
      </w:r>
    </w:p>
    <w:p w14:paraId="1909F815" w14:textId="77777777" w:rsidR="007D4E30" w:rsidRDefault="00E9201B">
      <w:pPr>
        <w:numPr>
          <w:ilvl w:val="0"/>
          <w:numId w:val="1"/>
        </w:numPr>
        <w:rPr>
          <w:rFonts w:ascii="Georgia" w:eastAsia="Georgia" w:hAnsi="Georgia" w:cs="Georgia"/>
          <w:b/>
          <w:sz w:val="20"/>
          <w:szCs w:val="20"/>
        </w:rPr>
      </w:pPr>
      <w:r>
        <w:rPr>
          <w:rFonts w:ascii="Georgia" w:eastAsia="Georgia" w:hAnsi="Georgia" w:cs="Georgia"/>
          <w:b/>
          <w:sz w:val="20"/>
          <w:szCs w:val="20"/>
        </w:rPr>
        <w:t>Workforce totals 3,100 from 85 different nationalities as of 30 June 2022</w:t>
      </w:r>
    </w:p>
    <w:p w14:paraId="2E7EEDCF" w14:textId="77777777" w:rsidR="007D4E30" w:rsidRDefault="00E9201B">
      <w:pPr>
        <w:numPr>
          <w:ilvl w:val="0"/>
          <w:numId w:val="1"/>
        </w:numPr>
        <w:rPr>
          <w:rFonts w:ascii="Georgia" w:eastAsia="Georgia" w:hAnsi="Georgia" w:cs="Georgia"/>
          <w:b/>
          <w:sz w:val="20"/>
          <w:szCs w:val="20"/>
        </w:rPr>
      </w:pPr>
      <w:r>
        <w:rPr>
          <w:rFonts w:ascii="Georgia" w:eastAsia="Georgia" w:hAnsi="Georgia" w:cs="Georgia"/>
          <w:b/>
          <w:sz w:val="20"/>
          <w:szCs w:val="20"/>
        </w:rPr>
        <w:t>New hires: 1,167 new people at the beginni</w:t>
      </w:r>
      <w:r>
        <w:rPr>
          <w:rFonts w:ascii="Georgia" w:eastAsia="Georgia" w:hAnsi="Georgia" w:cs="Georgia"/>
          <w:b/>
          <w:sz w:val="20"/>
          <w:szCs w:val="20"/>
        </w:rPr>
        <w:t>ng of 2022</w:t>
      </w:r>
    </w:p>
    <w:p w14:paraId="5675F02B" w14:textId="77777777" w:rsidR="007D4E30" w:rsidRDefault="007D4E30">
      <w:pPr>
        <w:rPr>
          <w:rFonts w:ascii="Georgia" w:eastAsia="Georgia" w:hAnsi="Georgia" w:cs="Georgia"/>
          <w:b/>
          <w:sz w:val="20"/>
          <w:szCs w:val="20"/>
        </w:rPr>
      </w:pPr>
    </w:p>
    <w:p w14:paraId="058B96E3" w14:textId="77777777" w:rsidR="007D4E30" w:rsidRDefault="007D4E30">
      <w:pPr>
        <w:rPr>
          <w:rFonts w:ascii="Georgia" w:eastAsia="Georgia" w:hAnsi="Georgia" w:cs="Georgia"/>
          <w:b/>
          <w:sz w:val="20"/>
          <w:szCs w:val="20"/>
        </w:rPr>
      </w:pPr>
    </w:p>
    <w:p w14:paraId="57284034" w14:textId="77777777" w:rsidR="007D4E30" w:rsidRDefault="00E9201B">
      <w:pPr>
        <w:rPr>
          <w:rFonts w:ascii="Georgia" w:eastAsia="Georgia" w:hAnsi="Georgia" w:cs="Georgia"/>
          <w:b/>
          <w:sz w:val="20"/>
          <w:szCs w:val="20"/>
        </w:rPr>
      </w:pPr>
      <w:r>
        <w:rPr>
          <w:rFonts w:ascii="Georgia" w:eastAsia="Georgia" w:hAnsi="Georgia" w:cs="Georgia"/>
          <w:b/>
          <w:sz w:val="20"/>
          <w:szCs w:val="20"/>
        </w:rPr>
        <w:t>Press Release, Luxembourg, 25 October 2022</w:t>
      </w:r>
    </w:p>
    <w:p w14:paraId="3E33FE81" w14:textId="77777777" w:rsidR="007D4E30" w:rsidRDefault="007D4E30">
      <w:pPr>
        <w:rPr>
          <w:rFonts w:ascii="Georgia" w:eastAsia="Georgia" w:hAnsi="Georgia" w:cs="Georgia"/>
          <w:sz w:val="20"/>
          <w:szCs w:val="20"/>
        </w:rPr>
      </w:pPr>
    </w:p>
    <w:p w14:paraId="6BB77F1D" w14:textId="77777777" w:rsidR="007D4E30" w:rsidRDefault="00E9201B">
      <w:pPr>
        <w:rPr>
          <w:rFonts w:ascii="Georgia" w:eastAsia="Georgia" w:hAnsi="Georgia" w:cs="Georgia"/>
          <w:b/>
          <w:sz w:val="20"/>
          <w:szCs w:val="20"/>
        </w:rPr>
      </w:pPr>
      <w:r>
        <w:rPr>
          <w:rFonts w:ascii="Georgia" w:eastAsia="Georgia" w:hAnsi="Georgia" w:cs="Georgia"/>
          <w:b/>
          <w:sz w:val="20"/>
          <w:szCs w:val="20"/>
        </w:rPr>
        <w:t>PwC Luxembourg is proud to report a double-digit 11% increase in topline, thereby exceeding the half a billion euros turnover mark for the year ended 30 June 2022.</w:t>
      </w:r>
    </w:p>
    <w:p w14:paraId="79947D15" w14:textId="77777777" w:rsidR="007D4E30" w:rsidRDefault="007D4E30">
      <w:pPr>
        <w:rPr>
          <w:rFonts w:ascii="Georgia" w:eastAsia="Georgia" w:hAnsi="Georgia" w:cs="Georgia"/>
          <w:b/>
          <w:sz w:val="20"/>
          <w:szCs w:val="20"/>
        </w:rPr>
      </w:pPr>
    </w:p>
    <w:p w14:paraId="508F9114" w14:textId="77777777" w:rsidR="007D4E30" w:rsidRDefault="007D4E30">
      <w:pPr>
        <w:rPr>
          <w:rFonts w:ascii="Georgia" w:eastAsia="Georgia" w:hAnsi="Georgia" w:cs="Georgia"/>
          <w:sz w:val="20"/>
          <w:szCs w:val="20"/>
        </w:rPr>
      </w:pPr>
    </w:p>
    <w:p w14:paraId="2EBD8F3F" w14:textId="77777777" w:rsidR="007D4E30" w:rsidRDefault="00E9201B">
      <w:pPr>
        <w:rPr>
          <w:rFonts w:ascii="Georgia" w:eastAsia="Georgia" w:hAnsi="Georgia" w:cs="Georgia"/>
          <w:i/>
          <w:sz w:val="20"/>
          <w:szCs w:val="20"/>
        </w:rPr>
      </w:pPr>
      <w:hyperlink r:id="rId12">
        <w:r>
          <w:rPr>
            <w:rFonts w:ascii="Georgia" w:eastAsia="Georgia" w:hAnsi="Georgia" w:cs="Georgia"/>
            <w:color w:val="1155CC"/>
            <w:sz w:val="20"/>
            <w:szCs w:val="20"/>
            <w:u w:val="single"/>
          </w:rPr>
          <w:t>John Parkhouse, CEO of PwC Luxembourg</w:t>
        </w:r>
      </w:hyperlink>
      <w:r>
        <w:rPr>
          <w:rFonts w:ascii="Georgia" w:eastAsia="Georgia" w:hAnsi="Georgia" w:cs="Georgia"/>
          <w:sz w:val="20"/>
          <w:szCs w:val="20"/>
        </w:rPr>
        <w:t xml:space="preserve"> on the performance,  “</w:t>
      </w:r>
      <w:r>
        <w:rPr>
          <w:rFonts w:ascii="Georgia" w:eastAsia="Georgia" w:hAnsi="Georgia" w:cs="Georgia"/>
          <w:i/>
          <w:sz w:val="20"/>
          <w:szCs w:val="20"/>
        </w:rPr>
        <w:t xml:space="preserve">Despite the turmoil we have seen in recent months, we have witnessed very strong growth across all our businesses - posting a remarkable 11% growth in our turnover,  taking our firm comfortably past the half a billion mark (EUR 543M), and representing EUR </w:t>
      </w:r>
      <w:r>
        <w:rPr>
          <w:rFonts w:ascii="Georgia" w:eastAsia="Georgia" w:hAnsi="Georgia" w:cs="Georgia"/>
          <w:i/>
          <w:sz w:val="20"/>
          <w:szCs w:val="20"/>
        </w:rPr>
        <w:t xml:space="preserve">480M in net revenue. I would like to thank our clients for their continued trust in our services, our people for their passion and commitment and the broader community for their support and recognition of what we try to bring to our society. Never has it  </w:t>
      </w:r>
      <w:r>
        <w:rPr>
          <w:rFonts w:ascii="Georgia" w:eastAsia="Georgia" w:hAnsi="Georgia" w:cs="Georgia"/>
          <w:i/>
          <w:sz w:val="20"/>
          <w:szCs w:val="20"/>
        </w:rPr>
        <w:t>been more important for business, policy makers and society as a whole to work together on providing the stability and access to opportunities which are so important to  us all.</w:t>
      </w:r>
    </w:p>
    <w:p w14:paraId="392D3BB4" w14:textId="77777777" w:rsidR="007D4E30" w:rsidRDefault="007D4E30">
      <w:pPr>
        <w:rPr>
          <w:rFonts w:ascii="Georgia" w:eastAsia="Georgia" w:hAnsi="Georgia" w:cs="Georgia"/>
          <w:i/>
          <w:sz w:val="20"/>
          <w:szCs w:val="20"/>
        </w:rPr>
      </w:pPr>
    </w:p>
    <w:p w14:paraId="17583DBD" w14:textId="77777777" w:rsidR="007D4E30" w:rsidRDefault="00E9201B">
      <w:pPr>
        <w:rPr>
          <w:rFonts w:ascii="Georgia" w:eastAsia="Georgia" w:hAnsi="Georgia" w:cs="Georgia"/>
          <w:i/>
          <w:sz w:val="20"/>
          <w:szCs w:val="20"/>
        </w:rPr>
      </w:pPr>
      <w:r>
        <w:rPr>
          <w:rFonts w:ascii="Georgia" w:eastAsia="Georgia" w:hAnsi="Georgia" w:cs="Georgia"/>
          <w:i/>
          <w:sz w:val="20"/>
          <w:szCs w:val="20"/>
        </w:rPr>
        <w:t>An area where we placed considerable effort last year, and where we will do s</w:t>
      </w:r>
      <w:r>
        <w:rPr>
          <w:rFonts w:ascii="Georgia" w:eastAsia="Georgia" w:hAnsi="Georgia" w:cs="Georgia"/>
          <w:i/>
          <w:sz w:val="20"/>
          <w:szCs w:val="20"/>
        </w:rPr>
        <w:t>o again this year, concerns the recruitment and retention of talent.  From listening carefully to our People, we identified four distinct priorities in which we invested: Healthy Environment,  Competitive Compensation</w:t>
      </w:r>
    </w:p>
    <w:p w14:paraId="2F452ADE" w14:textId="77777777" w:rsidR="007D4E30" w:rsidRDefault="00E9201B">
      <w:pPr>
        <w:rPr>
          <w:rFonts w:ascii="Georgia" w:eastAsia="Georgia" w:hAnsi="Georgia" w:cs="Georgia"/>
          <w:i/>
          <w:sz w:val="20"/>
          <w:szCs w:val="20"/>
        </w:rPr>
      </w:pPr>
      <w:r>
        <w:rPr>
          <w:rFonts w:ascii="Georgia" w:eastAsia="Georgia" w:hAnsi="Georgia" w:cs="Georgia"/>
          <w:i/>
          <w:sz w:val="20"/>
          <w:szCs w:val="20"/>
        </w:rPr>
        <w:lastRenderedPageBreak/>
        <w:t>Talent Management and Differentiated C</w:t>
      </w:r>
      <w:r>
        <w:rPr>
          <w:rFonts w:ascii="Georgia" w:eastAsia="Georgia" w:hAnsi="Georgia" w:cs="Georgia"/>
          <w:i/>
          <w:sz w:val="20"/>
          <w:szCs w:val="20"/>
        </w:rPr>
        <w:t>areers. It goes without saying that without a successful and sustainable business nothing would be possible and one of the key elements to make that happen is a sustainable workforce. This is why our People remain a core focus and why we work on building a</w:t>
      </w:r>
      <w:r>
        <w:rPr>
          <w:rFonts w:ascii="Georgia" w:eastAsia="Georgia" w:hAnsi="Georgia" w:cs="Georgia"/>
          <w:i/>
          <w:sz w:val="20"/>
          <w:szCs w:val="20"/>
        </w:rPr>
        <w:t xml:space="preserve"> meaningful journey for them allowing for pro-bono work, professional associations’ membership and community engagements.”</w:t>
      </w:r>
    </w:p>
    <w:p w14:paraId="0B8A4AC3" w14:textId="77777777" w:rsidR="007D4E30" w:rsidRDefault="007D4E30">
      <w:pPr>
        <w:rPr>
          <w:rFonts w:ascii="Georgia" w:eastAsia="Georgia" w:hAnsi="Georgia" w:cs="Georgia"/>
          <w:i/>
          <w:sz w:val="20"/>
          <w:szCs w:val="20"/>
        </w:rPr>
      </w:pPr>
    </w:p>
    <w:p w14:paraId="5362D296" w14:textId="77777777" w:rsidR="007D4E30" w:rsidRDefault="007D4E30">
      <w:pPr>
        <w:rPr>
          <w:rFonts w:ascii="Georgia" w:eastAsia="Georgia" w:hAnsi="Georgia" w:cs="Georgia"/>
          <w:i/>
          <w:sz w:val="20"/>
          <w:szCs w:val="20"/>
        </w:rPr>
      </w:pPr>
    </w:p>
    <w:p w14:paraId="1135A3BB" w14:textId="77777777" w:rsidR="007D4E30" w:rsidRDefault="00E9201B">
      <w:pPr>
        <w:rPr>
          <w:rFonts w:ascii="Georgia" w:eastAsia="Georgia" w:hAnsi="Georgia" w:cs="Georgia"/>
          <w:b/>
          <w:sz w:val="20"/>
          <w:szCs w:val="20"/>
        </w:rPr>
      </w:pPr>
      <w:r>
        <w:rPr>
          <w:rFonts w:ascii="Georgia" w:eastAsia="Georgia" w:hAnsi="Georgia" w:cs="Georgia"/>
          <w:b/>
          <w:sz w:val="20"/>
          <w:szCs w:val="20"/>
        </w:rPr>
        <w:t>Prosperity - Business Review</w:t>
      </w:r>
    </w:p>
    <w:p w14:paraId="51D6EB3D" w14:textId="77777777" w:rsidR="007D4E30" w:rsidRDefault="007D4E30">
      <w:pPr>
        <w:rPr>
          <w:rFonts w:ascii="Georgia" w:eastAsia="Georgia" w:hAnsi="Georgia" w:cs="Georgia"/>
          <w:sz w:val="20"/>
          <w:szCs w:val="20"/>
        </w:rPr>
      </w:pPr>
    </w:p>
    <w:p w14:paraId="3D0B66BE" w14:textId="77777777" w:rsidR="007D4E30" w:rsidRDefault="00E9201B">
      <w:pPr>
        <w:rPr>
          <w:rFonts w:ascii="Georgia" w:eastAsia="Georgia" w:hAnsi="Georgia" w:cs="Georgia"/>
          <w:sz w:val="20"/>
          <w:szCs w:val="20"/>
        </w:rPr>
      </w:pPr>
      <w:r>
        <w:rPr>
          <w:rFonts w:ascii="Georgia" w:eastAsia="Georgia" w:hAnsi="Georgia" w:cs="Georgia"/>
          <w:sz w:val="20"/>
          <w:szCs w:val="20"/>
        </w:rPr>
        <w:t>Our financial year, which spanned from 1 July 2021 to 30 June 2022, was a very special year that star</w:t>
      </w:r>
      <w:r>
        <w:rPr>
          <w:rFonts w:ascii="Georgia" w:eastAsia="Georgia" w:hAnsi="Georgia" w:cs="Georgia"/>
          <w:sz w:val="20"/>
          <w:szCs w:val="20"/>
        </w:rPr>
        <w:t>ted with a shift in the pandemic, where modern medicine allowed for a new normality and a feeling of optimism. Turbulent events however began to impact us mostly in the second half of our financial year, with a growing energy crisis and disrupted supply ch</w:t>
      </w:r>
      <w:r>
        <w:rPr>
          <w:rFonts w:ascii="Georgia" w:eastAsia="Georgia" w:hAnsi="Georgia" w:cs="Georgia"/>
          <w:sz w:val="20"/>
          <w:szCs w:val="20"/>
        </w:rPr>
        <w:t xml:space="preserve">ains, as well as a very strong core inflation, especially in the US. </w:t>
      </w:r>
    </w:p>
    <w:p w14:paraId="797149DB" w14:textId="77777777" w:rsidR="007D4E30" w:rsidRDefault="007D4E30">
      <w:pPr>
        <w:rPr>
          <w:rFonts w:ascii="Georgia" w:eastAsia="Georgia" w:hAnsi="Georgia" w:cs="Georgia"/>
          <w:sz w:val="20"/>
          <w:szCs w:val="20"/>
        </w:rPr>
      </w:pPr>
    </w:p>
    <w:p w14:paraId="0A2B57AA" w14:textId="77777777" w:rsidR="007D4E30" w:rsidRDefault="00E9201B">
      <w:pPr>
        <w:rPr>
          <w:rFonts w:ascii="Georgia" w:eastAsia="Georgia" w:hAnsi="Georgia" w:cs="Georgia"/>
          <w:sz w:val="20"/>
          <w:szCs w:val="20"/>
        </w:rPr>
      </w:pPr>
      <w:r>
        <w:rPr>
          <w:rFonts w:ascii="Georgia" w:eastAsia="Georgia" w:hAnsi="Georgia" w:cs="Georgia"/>
          <w:sz w:val="20"/>
          <w:szCs w:val="20"/>
        </w:rPr>
        <w:t>As a professional services firm in Luxembourg, we see our 11% increase in our net revenue as a major achievement, particularly in a time of growing turbulence, witness of the reach of o</w:t>
      </w:r>
      <w:r>
        <w:rPr>
          <w:rFonts w:ascii="Georgia" w:eastAsia="Georgia" w:hAnsi="Georgia" w:cs="Georgia"/>
          <w:sz w:val="20"/>
          <w:szCs w:val="20"/>
        </w:rPr>
        <w:t>ur services on local clients, subsidiaries of international groups, as well beyond the local market.</w:t>
      </w:r>
    </w:p>
    <w:p w14:paraId="3BCEC709" w14:textId="77777777" w:rsidR="007D4E30" w:rsidRDefault="007D4E30">
      <w:pPr>
        <w:rPr>
          <w:rFonts w:ascii="Georgia" w:eastAsia="Georgia" w:hAnsi="Georgia" w:cs="Georgia"/>
          <w:sz w:val="20"/>
          <w:szCs w:val="20"/>
        </w:rPr>
      </w:pPr>
    </w:p>
    <w:p w14:paraId="06B6798B" w14:textId="77777777" w:rsidR="007D4E30" w:rsidRDefault="00E9201B">
      <w:pPr>
        <w:rPr>
          <w:rFonts w:ascii="Georgia" w:eastAsia="Georgia" w:hAnsi="Georgia" w:cs="Georgia"/>
          <w:b/>
          <w:sz w:val="20"/>
          <w:szCs w:val="20"/>
        </w:rPr>
      </w:pPr>
      <w:r>
        <w:rPr>
          <w:rFonts w:ascii="Georgia" w:eastAsia="Georgia" w:hAnsi="Georgia" w:cs="Georgia"/>
          <w:b/>
          <w:sz w:val="20"/>
          <w:szCs w:val="20"/>
        </w:rPr>
        <w:t>FY22 continued to be marked by three major business trends:</w:t>
      </w:r>
    </w:p>
    <w:p w14:paraId="216171BC" w14:textId="77777777" w:rsidR="007D4E30" w:rsidRDefault="00E9201B">
      <w:pPr>
        <w:numPr>
          <w:ilvl w:val="0"/>
          <w:numId w:val="2"/>
        </w:numPr>
        <w:rPr>
          <w:rFonts w:ascii="Georgia" w:eastAsia="Georgia" w:hAnsi="Georgia" w:cs="Georgia"/>
          <w:sz w:val="20"/>
          <w:szCs w:val="20"/>
        </w:rPr>
      </w:pPr>
      <w:r>
        <w:rPr>
          <w:rFonts w:ascii="Georgia" w:eastAsia="Georgia" w:hAnsi="Georgia" w:cs="Georgia"/>
          <w:sz w:val="20"/>
          <w:szCs w:val="20"/>
        </w:rPr>
        <w:t>Increase in Environmental, Social and Governance (ESG) regulation intensity</w:t>
      </w:r>
    </w:p>
    <w:p w14:paraId="32550187" w14:textId="77777777" w:rsidR="007D4E30" w:rsidRDefault="00E9201B">
      <w:pPr>
        <w:numPr>
          <w:ilvl w:val="0"/>
          <w:numId w:val="2"/>
        </w:numPr>
        <w:rPr>
          <w:rFonts w:ascii="Georgia" w:eastAsia="Georgia" w:hAnsi="Georgia" w:cs="Georgia"/>
          <w:sz w:val="20"/>
          <w:szCs w:val="20"/>
        </w:rPr>
      </w:pPr>
      <w:r>
        <w:rPr>
          <w:rFonts w:ascii="Georgia" w:eastAsia="Georgia" w:hAnsi="Georgia" w:cs="Georgia"/>
          <w:sz w:val="20"/>
          <w:szCs w:val="20"/>
        </w:rPr>
        <w:t>Significant market</w:t>
      </w:r>
      <w:r>
        <w:rPr>
          <w:rFonts w:ascii="Georgia" w:eastAsia="Georgia" w:hAnsi="Georgia" w:cs="Georgia"/>
          <w:sz w:val="20"/>
          <w:szCs w:val="20"/>
        </w:rPr>
        <w:t xml:space="preserve"> growth in ‘Alternatives’ and - linked to that - Managed Services</w:t>
      </w:r>
    </w:p>
    <w:p w14:paraId="022875C8" w14:textId="77777777" w:rsidR="007D4E30" w:rsidRDefault="00E9201B">
      <w:pPr>
        <w:numPr>
          <w:ilvl w:val="0"/>
          <w:numId w:val="2"/>
        </w:numPr>
        <w:rPr>
          <w:rFonts w:ascii="Georgia" w:eastAsia="Georgia" w:hAnsi="Georgia" w:cs="Georgia"/>
          <w:sz w:val="20"/>
          <w:szCs w:val="20"/>
        </w:rPr>
      </w:pPr>
      <w:r>
        <w:rPr>
          <w:rFonts w:ascii="Georgia" w:eastAsia="Georgia" w:hAnsi="Georgia" w:cs="Georgia"/>
          <w:sz w:val="20"/>
          <w:szCs w:val="20"/>
        </w:rPr>
        <w:t>A strong dynamic in digital transformation</w:t>
      </w:r>
    </w:p>
    <w:p w14:paraId="653B360C" w14:textId="77777777" w:rsidR="007D4E30" w:rsidRDefault="007D4E30">
      <w:pPr>
        <w:ind w:left="720"/>
        <w:rPr>
          <w:rFonts w:ascii="Georgia" w:eastAsia="Georgia" w:hAnsi="Georgia" w:cs="Georgia"/>
          <w:sz w:val="20"/>
          <w:szCs w:val="20"/>
        </w:rPr>
      </w:pPr>
    </w:p>
    <w:p w14:paraId="2B9553A3" w14:textId="77777777" w:rsidR="007D4E30" w:rsidRDefault="00E9201B">
      <w:pPr>
        <w:spacing w:line="259" w:lineRule="auto"/>
        <w:rPr>
          <w:rFonts w:ascii="Georgia" w:eastAsia="Georgia" w:hAnsi="Georgia" w:cs="Georgia"/>
          <w:b/>
          <w:sz w:val="20"/>
          <w:szCs w:val="20"/>
        </w:rPr>
      </w:pPr>
      <w:r>
        <w:rPr>
          <w:rFonts w:ascii="Georgia" w:eastAsia="Georgia" w:hAnsi="Georgia" w:cs="Georgia"/>
          <w:b/>
          <w:sz w:val="20"/>
          <w:szCs w:val="20"/>
        </w:rPr>
        <w:t>Industries</w:t>
      </w:r>
    </w:p>
    <w:p w14:paraId="1AB66690" w14:textId="77777777" w:rsidR="007D4E30" w:rsidRDefault="007D4E30">
      <w:pPr>
        <w:spacing w:line="259" w:lineRule="auto"/>
        <w:rPr>
          <w:rFonts w:ascii="Georgia" w:eastAsia="Georgia" w:hAnsi="Georgia" w:cs="Georgia"/>
          <w:b/>
          <w:sz w:val="20"/>
          <w:szCs w:val="20"/>
        </w:rPr>
      </w:pPr>
    </w:p>
    <w:p w14:paraId="62896DB0"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We support our clients with services in five major industries: Alternatives, Asset and Wealth Management (AWM), Banking, Insurance and</w:t>
      </w:r>
      <w:r>
        <w:rPr>
          <w:rFonts w:ascii="Georgia" w:eastAsia="Georgia" w:hAnsi="Georgia" w:cs="Georgia"/>
          <w:sz w:val="20"/>
          <w:szCs w:val="20"/>
        </w:rPr>
        <w:t xml:space="preserve"> Industry &amp; Public Sector (IPS):</w:t>
      </w:r>
    </w:p>
    <w:p w14:paraId="4D41EECD" w14:textId="77777777" w:rsidR="007D4E30" w:rsidRDefault="007D4E30">
      <w:pPr>
        <w:spacing w:line="259" w:lineRule="auto"/>
        <w:ind w:left="720"/>
        <w:rPr>
          <w:rFonts w:ascii="Georgia" w:eastAsia="Georgia" w:hAnsi="Georgia" w:cs="Georgia"/>
          <w:sz w:val="20"/>
          <w:szCs w:val="20"/>
        </w:rPr>
      </w:pPr>
    </w:p>
    <w:p w14:paraId="7572FD98" w14:textId="77777777" w:rsidR="007D4E30" w:rsidRDefault="00E9201B">
      <w:pPr>
        <w:numPr>
          <w:ilvl w:val="0"/>
          <w:numId w:val="4"/>
        </w:numPr>
        <w:spacing w:line="259" w:lineRule="auto"/>
        <w:rPr>
          <w:rFonts w:ascii="Georgia" w:eastAsia="Georgia" w:hAnsi="Georgia" w:cs="Georgia"/>
          <w:sz w:val="20"/>
          <w:szCs w:val="20"/>
        </w:rPr>
      </w:pPr>
      <w:r>
        <w:rPr>
          <w:rFonts w:ascii="Georgia" w:eastAsia="Georgia" w:hAnsi="Georgia" w:cs="Georgia"/>
          <w:sz w:val="20"/>
          <w:szCs w:val="20"/>
        </w:rPr>
        <w:t>Alternatives: +23.2% (% of turnover = 43.0%)</w:t>
      </w:r>
    </w:p>
    <w:p w14:paraId="5777A93A" w14:textId="77777777" w:rsidR="007D4E30" w:rsidRDefault="00E9201B">
      <w:pPr>
        <w:numPr>
          <w:ilvl w:val="0"/>
          <w:numId w:val="4"/>
        </w:numPr>
        <w:spacing w:line="259" w:lineRule="auto"/>
        <w:rPr>
          <w:rFonts w:ascii="Georgia" w:eastAsia="Georgia" w:hAnsi="Georgia" w:cs="Georgia"/>
          <w:sz w:val="20"/>
          <w:szCs w:val="20"/>
        </w:rPr>
      </w:pPr>
      <w:r>
        <w:rPr>
          <w:rFonts w:ascii="Georgia" w:eastAsia="Georgia" w:hAnsi="Georgia" w:cs="Georgia"/>
          <w:sz w:val="20"/>
          <w:szCs w:val="20"/>
        </w:rPr>
        <w:t>Asset and Wealth Management: +0.4% (% of turnover = 21.8%)</w:t>
      </w:r>
    </w:p>
    <w:p w14:paraId="24A3FD66" w14:textId="77777777" w:rsidR="007D4E30" w:rsidRDefault="00E9201B">
      <w:pPr>
        <w:numPr>
          <w:ilvl w:val="0"/>
          <w:numId w:val="4"/>
        </w:numPr>
        <w:spacing w:line="259" w:lineRule="auto"/>
        <w:rPr>
          <w:rFonts w:ascii="Georgia" w:eastAsia="Georgia" w:hAnsi="Georgia" w:cs="Georgia"/>
          <w:sz w:val="20"/>
          <w:szCs w:val="20"/>
        </w:rPr>
      </w:pPr>
      <w:r>
        <w:rPr>
          <w:rFonts w:ascii="Georgia" w:eastAsia="Georgia" w:hAnsi="Georgia" w:cs="Georgia"/>
          <w:sz w:val="20"/>
          <w:szCs w:val="20"/>
        </w:rPr>
        <w:t>Banking and Capital Markets: +4.6% (% of turnover = 11.4%)</w:t>
      </w:r>
    </w:p>
    <w:p w14:paraId="423CF80A" w14:textId="77777777" w:rsidR="007D4E30" w:rsidRDefault="00E9201B">
      <w:pPr>
        <w:numPr>
          <w:ilvl w:val="0"/>
          <w:numId w:val="4"/>
        </w:numPr>
        <w:spacing w:line="259" w:lineRule="auto"/>
        <w:rPr>
          <w:rFonts w:ascii="Georgia" w:eastAsia="Georgia" w:hAnsi="Georgia" w:cs="Georgia"/>
          <w:sz w:val="20"/>
          <w:szCs w:val="20"/>
        </w:rPr>
      </w:pPr>
      <w:r>
        <w:rPr>
          <w:rFonts w:ascii="Georgia" w:eastAsia="Georgia" w:hAnsi="Georgia" w:cs="Georgia"/>
          <w:sz w:val="20"/>
          <w:szCs w:val="20"/>
        </w:rPr>
        <w:t>Insurance: -0.6% (% of turnover = 3.3%)</w:t>
      </w:r>
    </w:p>
    <w:p w14:paraId="38046423" w14:textId="77777777" w:rsidR="007D4E30" w:rsidRDefault="00E9201B">
      <w:pPr>
        <w:numPr>
          <w:ilvl w:val="0"/>
          <w:numId w:val="4"/>
        </w:numPr>
        <w:spacing w:line="259" w:lineRule="auto"/>
        <w:rPr>
          <w:rFonts w:ascii="Georgia" w:eastAsia="Georgia" w:hAnsi="Georgia" w:cs="Georgia"/>
          <w:sz w:val="20"/>
          <w:szCs w:val="20"/>
        </w:rPr>
      </w:pPr>
      <w:r>
        <w:rPr>
          <w:rFonts w:ascii="Georgia" w:eastAsia="Georgia" w:hAnsi="Georgia" w:cs="Georgia"/>
          <w:sz w:val="20"/>
          <w:szCs w:val="20"/>
        </w:rPr>
        <w:t>Industry and Public Sector: +5.3% (% of turnover = 20.5%)</w:t>
      </w:r>
    </w:p>
    <w:p w14:paraId="1B8257A7" w14:textId="77777777" w:rsidR="007D4E30" w:rsidRDefault="007D4E30">
      <w:pPr>
        <w:spacing w:line="259" w:lineRule="auto"/>
        <w:rPr>
          <w:rFonts w:ascii="Georgia" w:eastAsia="Georgia" w:hAnsi="Georgia" w:cs="Georgia"/>
          <w:b/>
          <w:sz w:val="20"/>
          <w:szCs w:val="20"/>
        </w:rPr>
      </w:pPr>
    </w:p>
    <w:p w14:paraId="72695956" w14:textId="77777777" w:rsidR="007D4E30" w:rsidRDefault="00E9201B">
      <w:pPr>
        <w:spacing w:line="259" w:lineRule="auto"/>
        <w:rPr>
          <w:rFonts w:ascii="Georgia" w:eastAsia="Georgia" w:hAnsi="Georgia" w:cs="Georgia"/>
          <w:b/>
          <w:sz w:val="20"/>
          <w:szCs w:val="20"/>
        </w:rPr>
      </w:pPr>
      <w:r>
        <w:rPr>
          <w:rFonts w:ascii="Georgia" w:eastAsia="Georgia" w:hAnsi="Georgia" w:cs="Georgia"/>
          <w:b/>
          <w:sz w:val="20"/>
          <w:szCs w:val="20"/>
        </w:rPr>
        <w:t xml:space="preserve">Our Core business ⁠- Advisory: +13.9% (% of turnover = 21.5%) </w:t>
      </w:r>
    </w:p>
    <w:p w14:paraId="4E9536DF" w14:textId="77777777" w:rsidR="007D4E30" w:rsidRDefault="007D4E30">
      <w:pPr>
        <w:spacing w:line="259" w:lineRule="auto"/>
        <w:rPr>
          <w:rFonts w:ascii="Georgia" w:eastAsia="Georgia" w:hAnsi="Georgia" w:cs="Georgia"/>
          <w:b/>
          <w:sz w:val="20"/>
          <w:szCs w:val="20"/>
        </w:rPr>
      </w:pPr>
    </w:p>
    <w:p w14:paraId="4D66E1F3"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Our Advisory practice had a very successful year, reporting a 13.9% growth to EUR 116.5M, and</w:t>
      </w:r>
      <w:r>
        <w:rPr>
          <w:rFonts w:ascii="Georgia" w:eastAsia="Georgia" w:hAnsi="Georgia" w:cs="Georgia"/>
          <w:sz w:val="20"/>
          <w:szCs w:val="20"/>
        </w:rPr>
        <w:t xml:space="preserve"> was an important contributor to the overall growth of PwC Luxembourg. This performance reflects the attractiveness of our services and their relevance to clients' needs in uncertain times as well as a constantly evolving and attracting talent strategy. </w:t>
      </w:r>
    </w:p>
    <w:p w14:paraId="7EF7186A" w14:textId="77777777" w:rsidR="007D4E30" w:rsidRDefault="007D4E30">
      <w:pPr>
        <w:spacing w:line="259" w:lineRule="auto"/>
        <w:rPr>
          <w:rFonts w:ascii="Georgia" w:eastAsia="Georgia" w:hAnsi="Georgia" w:cs="Georgia"/>
          <w:sz w:val="20"/>
          <w:szCs w:val="20"/>
        </w:rPr>
      </w:pPr>
    </w:p>
    <w:p w14:paraId="6870A559" w14:textId="77777777" w:rsidR="007D4E30" w:rsidRDefault="007D4E30">
      <w:pPr>
        <w:spacing w:line="259" w:lineRule="auto"/>
        <w:rPr>
          <w:rFonts w:ascii="Georgia" w:eastAsia="Georgia" w:hAnsi="Georgia" w:cs="Georgia"/>
          <w:sz w:val="20"/>
          <w:szCs w:val="20"/>
        </w:rPr>
      </w:pPr>
    </w:p>
    <w:p w14:paraId="44843780" w14:textId="77777777" w:rsidR="007D4E30" w:rsidRDefault="00E9201B">
      <w:pPr>
        <w:spacing w:line="259" w:lineRule="auto"/>
        <w:rPr>
          <w:rFonts w:ascii="Georgia" w:eastAsia="Georgia" w:hAnsi="Georgia" w:cs="Georgia"/>
          <w:b/>
          <w:sz w:val="20"/>
          <w:szCs w:val="20"/>
        </w:rPr>
      </w:pPr>
      <w:r>
        <w:rPr>
          <w:rFonts w:ascii="Georgia" w:eastAsia="Georgia" w:hAnsi="Georgia" w:cs="Georgia"/>
          <w:b/>
          <w:sz w:val="20"/>
          <w:szCs w:val="20"/>
        </w:rPr>
        <w:t xml:space="preserve">Our Core Business⁠ - Assurance: +10.6% (% of turnover = 50.1%) </w:t>
      </w:r>
    </w:p>
    <w:p w14:paraId="1F52001F" w14:textId="77777777" w:rsidR="007D4E30" w:rsidRDefault="007D4E30">
      <w:pPr>
        <w:spacing w:line="259" w:lineRule="auto"/>
        <w:rPr>
          <w:rFonts w:ascii="Georgia" w:eastAsia="Georgia" w:hAnsi="Georgia" w:cs="Georgia"/>
          <w:b/>
          <w:sz w:val="20"/>
          <w:szCs w:val="20"/>
        </w:rPr>
      </w:pPr>
    </w:p>
    <w:p w14:paraId="27DB57D7"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FY22 has been another very strong year for our Assurance practice with a growth of 10.6% to EUR 272.4M. As with the rest of the firm, the lion’s share of this growth is attributable to the A</w:t>
      </w:r>
      <w:r>
        <w:rPr>
          <w:rFonts w:ascii="Georgia" w:eastAsia="Georgia" w:hAnsi="Georgia" w:cs="Georgia"/>
          <w:sz w:val="20"/>
          <w:szCs w:val="20"/>
        </w:rPr>
        <w:t xml:space="preserve">lternatives industry. It should, however, be noted that all other industries, except for Insurance (as expected due to mandatory audit firms rotation in both 2021 and 2022), have also experienced a robust level of growth.  </w:t>
      </w:r>
    </w:p>
    <w:p w14:paraId="24C59DE3" w14:textId="77777777" w:rsidR="007D4E30" w:rsidRDefault="007D4E30">
      <w:pPr>
        <w:spacing w:line="259" w:lineRule="auto"/>
        <w:rPr>
          <w:rFonts w:ascii="Georgia" w:eastAsia="Georgia" w:hAnsi="Georgia" w:cs="Georgia"/>
          <w:sz w:val="20"/>
          <w:szCs w:val="20"/>
        </w:rPr>
      </w:pPr>
    </w:p>
    <w:p w14:paraId="4C46CB94" w14:textId="77777777" w:rsidR="007D4E30" w:rsidRDefault="007D4E30">
      <w:pPr>
        <w:spacing w:line="259" w:lineRule="auto"/>
        <w:rPr>
          <w:rFonts w:ascii="Georgia" w:eastAsia="Georgia" w:hAnsi="Georgia" w:cs="Georgia"/>
          <w:sz w:val="20"/>
          <w:szCs w:val="20"/>
        </w:rPr>
      </w:pPr>
    </w:p>
    <w:p w14:paraId="52FCDCDC" w14:textId="77777777" w:rsidR="007D4E30" w:rsidRDefault="00E9201B">
      <w:pPr>
        <w:spacing w:line="259" w:lineRule="auto"/>
        <w:rPr>
          <w:rFonts w:ascii="Georgia" w:eastAsia="Georgia" w:hAnsi="Georgia" w:cs="Georgia"/>
          <w:b/>
          <w:sz w:val="20"/>
          <w:szCs w:val="20"/>
        </w:rPr>
      </w:pPr>
      <w:r>
        <w:rPr>
          <w:rFonts w:ascii="Georgia" w:eastAsia="Georgia" w:hAnsi="Georgia" w:cs="Georgia"/>
          <w:b/>
          <w:sz w:val="20"/>
          <w:szCs w:val="20"/>
        </w:rPr>
        <w:t>Our Core Business - Tax: +9.0%</w:t>
      </w:r>
      <w:r>
        <w:rPr>
          <w:rFonts w:ascii="Georgia" w:eastAsia="Georgia" w:hAnsi="Georgia" w:cs="Georgia"/>
          <w:b/>
          <w:sz w:val="20"/>
          <w:szCs w:val="20"/>
        </w:rPr>
        <w:t xml:space="preserve"> (% of turnover = 28.4%)</w:t>
      </w:r>
    </w:p>
    <w:p w14:paraId="49B1B392" w14:textId="77777777" w:rsidR="007D4E30" w:rsidRDefault="007D4E30">
      <w:pPr>
        <w:spacing w:line="259" w:lineRule="auto"/>
        <w:rPr>
          <w:rFonts w:ascii="Georgia" w:eastAsia="Georgia" w:hAnsi="Georgia" w:cs="Georgia"/>
          <w:b/>
          <w:sz w:val="20"/>
          <w:szCs w:val="20"/>
        </w:rPr>
      </w:pPr>
    </w:p>
    <w:p w14:paraId="4142C51A"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lastRenderedPageBreak/>
        <w:t xml:space="preserve">In FY22, turnover from our Tax Services grew by more than 9% to EUR 154.4M. The solid growth is equally spread over all of our Tax Services. The Tax Services practice continues to be recognised as the leading provider of consulting, compliance and managed </w:t>
      </w:r>
      <w:r>
        <w:rPr>
          <w:rFonts w:ascii="Georgia" w:eastAsia="Georgia" w:hAnsi="Georgia" w:cs="Georgia"/>
          <w:sz w:val="20"/>
          <w:szCs w:val="20"/>
        </w:rPr>
        <w:t>services in Luxembourg, in terms of size, turnover and services scope.</w:t>
      </w:r>
    </w:p>
    <w:p w14:paraId="399040DA" w14:textId="77777777" w:rsidR="007D4E30" w:rsidRDefault="007D4E30">
      <w:pPr>
        <w:spacing w:line="259" w:lineRule="auto"/>
        <w:rPr>
          <w:rFonts w:ascii="Georgia" w:eastAsia="Georgia" w:hAnsi="Georgia" w:cs="Georgia"/>
          <w:sz w:val="20"/>
          <w:szCs w:val="20"/>
        </w:rPr>
      </w:pPr>
    </w:p>
    <w:p w14:paraId="6E14ACD4" w14:textId="77777777" w:rsidR="007D4E30" w:rsidRDefault="007D4E30">
      <w:pPr>
        <w:spacing w:line="259" w:lineRule="auto"/>
        <w:rPr>
          <w:rFonts w:ascii="Georgia" w:eastAsia="Georgia" w:hAnsi="Georgia" w:cs="Georgia"/>
          <w:sz w:val="20"/>
          <w:szCs w:val="20"/>
        </w:rPr>
      </w:pPr>
    </w:p>
    <w:p w14:paraId="2A3745B7" w14:textId="77777777" w:rsidR="007D4E30" w:rsidRDefault="00E9201B">
      <w:pPr>
        <w:spacing w:line="259" w:lineRule="auto"/>
        <w:rPr>
          <w:rFonts w:ascii="Georgia" w:eastAsia="Georgia" w:hAnsi="Georgia" w:cs="Georgia"/>
          <w:b/>
          <w:sz w:val="20"/>
          <w:szCs w:val="20"/>
        </w:rPr>
      </w:pPr>
      <w:r>
        <w:rPr>
          <w:rFonts w:ascii="Georgia" w:eastAsia="Georgia" w:hAnsi="Georgia" w:cs="Georgia"/>
          <w:b/>
          <w:sz w:val="20"/>
          <w:szCs w:val="20"/>
        </w:rPr>
        <w:t>Highlights from the other WEF-IBC pillars</w:t>
      </w:r>
    </w:p>
    <w:p w14:paraId="257A4B55" w14:textId="77777777" w:rsidR="007D4E30" w:rsidRDefault="007D4E30">
      <w:pPr>
        <w:spacing w:line="259" w:lineRule="auto"/>
        <w:rPr>
          <w:rFonts w:ascii="Georgia" w:eastAsia="Georgia" w:hAnsi="Georgia" w:cs="Georgia"/>
          <w:b/>
          <w:sz w:val="20"/>
          <w:szCs w:val="20"/>
        </w:rPr>
      </w:pPr>
    </w:p>
    <w:p w14:paraId="5FA8CB27" w14:textId="02EEFA24"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This is the third year that PwC Luxembourg has aligned its materiality matrix to the work performed by the World Economic Forum (WEF),with t</w:t>
      </w:r>
      <w:r>
        <w:rPr>
          <w:rFonts w:ascii="Georgia" w:eastAsia="Georgia" w:hAnsi="Georgia" w:cs="Georgia"/>
          <w:sz w:val="20"/>
          <w:szCs w:val="20"/>
        </w:rPr>
        <w:t>he support of the International Business Council (IBC) and the Big Four, a set of common metrics that rest at the heart of long-term value creation</w:t>
      </w:r>
      <w:r>
        <w:rPr>
          <w:rFonts w:ascii="Georgia" w:eastAsia="Georgia" w:hAnsi="Georgia" w:cs="Georgia"/>
          <w:sz w:val="20"/>
          <w:szCs w:val="20"/>
        </w:rPr>
        <w:t>, (and the seventh of reporting in this area)</w:t>
      </w:r>
    </w:p>
    <w:p w14:paraId="698677C0" w14:textId="77777777" w:rsidR="007D4E30" w:rsidRDefault="007D4E30">
      <w:pPr>
        <w:spacing w:line="259" w:lineRule="auto"/>
        <w:rPr>
          <w:rFonts w:ascii="Georgia" w:eastAsia="Georgia" w:hAnsi="Georgia" w:cs="Georgia"/>
          <w:sz w:val="20"/>
          <w:szCs w:val="20"/>
        </w:rPr>
      </w:pPr>
    </w:p>
    <w:p w14:paraId="66ACDFC2" w14:textId="60EB6CAA"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 xml:space="preserve">Adopting those universal standards and disclosures enables us to unlock long-term value through greater transparency, </w:t>
      </w:r>
      <w:r w:rsidR="00D34893">
        <w:rPr>
          <w:rFonts w:ascii="Georgia" w:eastAsia="Georgia" w:hAnsi="Georgia" w:cs="Georgia"/>
          <w:sz w:val="20"/>
          <w:szCs w:val="20"/>
        </w:rPr>
        <w:t>accountability,</w:t>
      </w:r>
      <w:r>
        <w:rPr>
          <w:rFonts w:ascii="Georgia" w:eastAsia="Georgia" w:hAnsi="Georgia" w:cs="Georgia"/>
          <w:sz w:val="20"/>
          <w:szCs w:val="20"/>
        </w:rPr>
        <w:t xml:space="preserve"> and business transformation. The WEF-IBC framework includes 21 core and 34 expanded metrics that define the most important </w:t>
      </w:r>
      <w:r>
        <w:rPr>
          <w:rFonts w:ascii="Georgia" w:eastAsia="Georgia" w:hAnsi="Georgia" w:cs="Georgia"/>
          <w:sz w:val="20"/>
          <w:szCs w:val="20"/>
        </w:rPr>
        <w:t>sustainability issues businesses should address. In 2021, we identified the 13 Ambitions that are a priority to us.</w:t>
      </w:r>
    </w:p>
    <w:p w14:paraId="1110FB9B" w14:textId="77777777" w:rsidR="007D4E30" w:rsidRDefault="007D4E30">
      <w:pPr>
        <w:spacing w:line="259" w:lineRule="auto"/>
        <w:rPr>
          <w:rFonts w:ascii="Georgia" w:eastAsia="Georgia" w:hAnsi="Georgia" w:cs="Georgia"/>
          <w:sz w:val="20"/>
          <w:szCs w:val="20"/>
        </w:rPr>
      </w:pPr>
    </w:p>
    <w:p w14:paraId="539132E3"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 xml:space="preserve">The year 2022 was about continuing in setting ambitious and collective actions. Our team at PwC Luxembourg established the frameworks, key </w:t>
      </w:r>
      <w:r>
        <w:rPr>
          <w:rFonts w:ascii="Georgia" w:eastAsia="Georgia" w:hAnsi="Georgia" w:cs="Georgia"/>
          <w:sz w:val="20"/>
          <w:szCs w:val="20"/>
        </w:rPr>
        <w:t xml:space="preserve">performance indicators (KPIs) and actions necessary to fulfil our commitment to our 13 Ambitions. </w:t>
      </w:r>
    </w:p>
    <w:p w14:paraId="045A168B" w14:textId="77777777" w:rsidR="007D4E30" w:rsidRDefault="007D4E30">
      <w:pPr>
        <w:spacing w:line="259" w:lineRule="auto"/>
        <w:rPr>
          <w:rFonts w:ascii="Georgia" w:eastAsia="Georgia" w:hAnsi="Georgia" w:cs="Georgia"/>
          <w:sz w:val="20"/>
          <w:szCs w:val="20"/>
        </w:rPr>
      </w:pPr>
    </w:p>
    <w:p w14:paraId="0F1F9170" w14:textId="77777777" w:rsidR="007D4E30" w:rsidRDefault="007D4E30">
      <w:pPr>
        <w:spacing w:line="259" w:lineRule="auto"/>
        <w:rPr>
          <w:rFonts w:ascii="Georgia" w:eastAsia="Georgia" w:hAnsi="Georgia" w:cs="Georgia"/>
          <w:b/>
          <w:sz w:val="20"/>
          <w:szCs w:val="20"/>
        </w:rPr>
      </w:pPr>
    </w:p>
    <w:p w14:paraId="491B3F57" w14:textId="77777777" w:rsidR="007D4E30" w:rsidRDefault="00E9201B">
      <w:pPr>
        <w:rPr>
          <w:rFonts w:ascii="Georgia" w:eastAsia="Georgia" w:hAnsi="Georgia" w:cs="Georgia"/>
          <w:b/>
          <w:sz w:val="20"/>
          <w:szCs w:val="20"/>
        </w:rPr>
      </w:pPr>
      <w:r>
        <w:rPr>
          <w:rFonts w:ascii="Georgia" w:eastAsia="Georgia" w:hAnsi="Georgia" w:cs="Georgia"/>
          <w:b/>
          <w:sz w:val="20"/>
          <w:szCs w:val="20"/>
        </w:rPr>
        <w:t>People</w:t>
      </w:r>
    </w:p>
    <w:p w14:paraId="3559DBA6" w14:textId="77777777" w:rsidR="007D4E30" w:rsidRDefault="007D4E30">
      <w:pPr>
        <w:rPr>
          <w:rFonts w:ascii="Georgia" w:eastAsia="Georgia" w:hAnsi="Georgia" w:cs="Georgia"/>
          <w:b/>
          <w:sz w:val="20"/>
          <w:szCs w:val="20"/>
        </w:rPr>
      </w:pPr>
    </w:p>
    <w:p w14:paraId="534C507C" w14:textId="77777777" w:rsidR="007D4E30" w:rsidRDefault="00E9201B">
      <w:pPr>
        <w:rPr>
          <w:rFonts w:ascii="Georgia" w:eastAsia="Georgia" w:hAnsi="Georgia" w:cs="Georgia"/>
          <w:sz w:val="20"/>
          <w:szCs w:val="20"/>
        </w:rPr>
      </w:pPr>
      <w:r>
        <w:rPr>
          <w:rFonts w:ascii="Georgia" w:eastAsia="Georgia" w:hAnsi="Georgia" w:cs="Georgia"/>
          <w:sz w:val="20"/>
          <w:szCs w:val="20"/>
        </w:rPr>
        <w:t>Our People are a key success factor in building a prosperous future at PwC Luxembourg. With 3,100 employees from 85 countries, we are the largest p</w:t>
      </w:r>
      <w:r>
        <w:rPr>
          <w:rFonts w:ascii="Georgia" w:eastAsia="Georgia" w:hAnsi="Georgia" w:cs="Georgia"/>
          <w:sz w:val="20"/>
          <w:szCs w:val="20"/>
        </w:rPr>
        <w:t>rofessional services firm in the country. A strong workforce that is thriving and healthy is important for our growth. To reach this, our ambition is to create a diverse and inclusive environment that encourages career advancement and engagement for all ou</w:t>
      </w:r>
      <w:r>
        <w:rPr>
          <w:rFonts w:ascii="Georgia" w:eastAsia="Georgia" w:hAnsi="Georgia" w:cs="Georgia"/>
          <w:sz w:val="20"/>
          <w:szCs w:val="20"/>
        </w:rPr>
        <w:t>r People. In FY22, we increased by 5% the gender diversity for each management level to achieve a 40-60 gender balance. Furthermore, we have seen a significant increase (more than 5%) in our Well-being and Flexibility index, meaning our flexibility measure</w:t>
      </w:r>
      <w:r>
        <w:rPr>
          <w:rFonts w:ascii="Georgia" w:eastAsia="Georgia" w:hAnsi="Georgia" w:cs="Georgia"/>
          <w:sz w:val="20"/>
          <w:szCs w:val="20"/>
        </w:rPr>
        <w:t>s and programmes provided to our People are unique in the market.</w:t>
      </w:r>
    </w:p>
    <w:p w14:paraId="31B89571" w14:textId="77777777" w:rsidR="007D4E30" w:rsidRDefault="007D4E30">
      <w:pPr>
        <w:rPr>
          <w:rFonts w:ascii="Georgia" w:eastAsia="Georgia" w:hAnsi="Georgia" w:cs="Georgia"/>
          <w:sz w:val="20"/>
          <w:szCs w:val="20"/>
        </w:rPr>
      </w:pPr>
    </w:p>
    <w:p w14:paraId="1149D536" w14:textId="77777777" w:rsidR="007D4E30" w:rsidRDefault="007D4E30">
      <w:pPr>
        <w:spacing w:line="276" w:lineRule="auto"/>
        <w:rPr>
          <w:rFonts w:ascii="Georgia" w:eastAsia="Georgia" w:hAnsi="Georgia" w:cs="Georgia"/>
          <w:sz w:val="20"/>
          <w:szCs w:val="20"/>
        </w:rPr>
      </w:pPr>
    </w:p>
    <w:p w14:paraId="58854531" w14:textId="77777777" w:rsidR="007D4E30" w:rsidRDefault="00E9201B">
      <w:pPr>
        <w:spacing w:line="259" w:lineRule="auto"/>
        <w:rPr>
          <w:rFonts w:ascii="Georgia" w:eastAsia="Georgia" w:hAnsi="Georgia" w:cs="Georgia"/>
          <w:sz w:val="20"/>
          <w:szCs w:val="20"/>
        </w:rPr>
      </w:pPr>
      <w:r>
        <w:rPr>
          <w:rFonts w:ascii="Georgia" w:eastAsia="Georgia" w:hAnsi="Georgia" w:cs="Georgia"/>
          <w:b/>
          <w:sz w:val="20"/>
          <w:szCs w:val="20"/>
        </w:rPr>
        <w:t>Planet</w:t>
      </w:r>
      <w:r>
        <w:rPr>
          <w:rFonts w:ascii="Georgia" w:eastAsia="Georgia" w:hAnsi="Georgia" w:cs="Georgia"/>
          <w:sz w:val="20"/>
          <w:szCs w:val="20"/>
        </w:rPr>
        <w:br/>
      </w:r>
    </w:p>
    <w:p w14:paraId="0BBC5B12"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t>Climate change is undeniably the biggest business and social challenge of the current century and the business community has a pivotal role to play in making positive change. Follo</w:t>
      </w:r>
      <w:r>
        <w:rPr>
          <w:rFonts w:ascii="Georgia" w:eastAsia="Georgia" w:hAnsi="Georgia" w:cs="Georgia"/>
          <w:sz w:val="20"/>
          <w:szCs w:val="20"/>
        </w:rPr>
        <w:t xml:space="preserve">wing PwC global network’s ambitious </w:t>
      </w:r>
      <w:hyperlink r:id="rId13">
        <w:r>
          <w:rPr>
            <w:rFonts w:ascii="Georgia" w:eastAsia="Georgia" w:hAnsi="Georgia" w:cs="Georgia"/>
            <w:color w:val="1155CC"/>
            <w:sz w:val="20"/>
            <w:szCs w:val="20"/>
            <w:u w:val="single"/>
          </w:rPr>
          <w:t>Net Zero 2030 Commitment</w:t>
        </w:r>
      </w:hyperlink>
      <w:r>
        <w:rPr>
          <w:rFonts w:ascii="Georgia" w:eastAsia="Georgia" w:hAnsi="Georgia" w:cs="Georgia"/>
          <w:sz w:val="20"/>
          <w:szCs w:val="20"/>
        </w:rPr>
        <w:t>, we continued this year to transform our firm’s business model by decarbonising our operat</w:t>
      </w:r>
      <w:r>
        <w:rPr>
          <w:rFonts w:ascii="Georgia" w:eastAsia="Georgia" w:hAnsi="Georgia" w:cs="Georgia"/>
          <w:sz w:val="20"/>
          <w:szCs w:val="20"/>
        </w:rPr>
        <w:t xml:space="preserve">ions and value chain while also engaging with clients and suppliers to meet these ambitions. </w:t>
      </w:r>
    </w:p>
    <w:p w14:paraId="53FE7517" w14:textId="77777777" w:rsidR="007D4E30" w:rsidRDefault="007D4E30">
      <w:pPr>
        <w:spacing w:line="259" w:lineRule="auto"/>
        <w:rPr>
          <w:rFonts w:ascii="Georgia" w:eastAsia="Georgia" w:hAnsi="Georgia" w:cs="Georgia"/>
          <w:sz w:val="20"/>
          <w:szCs w:val="20"/>
        </w:rPr>
      </w:pPr>
    </w:p>
    <w:p w14:paraId="63DECBFE" w14:textId="77777777" w:rsidR="007D4E30" w:rsidRDefault="00E9201B">
      <w:pPr>
        <w:rPr>
          <w:rFonts w:ascii="Georgia" w:eastAsia="Georgia" w:hAnsi="Georgia" w:cs="Georgia"/>
          <w:b/>
          <w:sz w:val="20"/>
          <w:szCs w:val="20"/>
        </w:rPr>
      </w:pPr>
      <w:r>
        <w:rPr>
          <w:rFonts w:ascii="Georgia" w:eastAsia="Georgia" w:hAnsi="Georgia" w:cs="Georgia"/>
          <w:b/>
          <w:sz w:val="20"/>
          <w:szCs w:val="20"/>
        </w:rPr>
        <w:t>Principles of Governance</w:t>
      </w:r>
    </w:p>
    <w:p w14:paraId="7544CAE7" w14:textId="77777777" w:rsidR="007D4E30" w:rsidRDefault="007D4E30">
      <w:pPr>
        <w:rPr>
          <w:rFonts w:ascii="Georgia" w:eastAsia="Georgia" w:hAnsi="Georgia" w:cs="Georgia"/>
          <w:b/>
          <w:sz w:val="20"/>
          <w:szCs w:val="20"/>
        </w:rPr>
      </w:pPr>
    </w:p>
    <w:p w14:paraId="6B28F4E1" w14:textId="69D0CDB1" w:rsidR="007D4E30" w:rsidRDefault="00E9201B">
      <w:pPr>
        <w:rPr>
          <w:rFonts w:ascii="Georgia" w:eastAsia="Georgia" w:hAnsi="Georgia" w:cs="Georgia"/>
          <w:sz w:val="20"/>
          <w:szCs w:val="20"/>
        </w:rPr>
      </w:pPr>
      <w:r>
        <w:rPr>
          <w:rFonts w:ascii="Georgia" w:eastAsia="Georgia" w:hAnsi="Georgia" w:cs="Georgia"/>
          <w:sz w:val="20"/>
          <w:szCs w:val="20"/>
        </w:rPr>
        <w:t>Governance is the foundation of how we build that trust and continued long-term value with our stakeholders. We believe accountability,</w:t>
      </w:r>
      <w:r>
        <w:rPr>
          <w:rFonts w:ascii="Georgia" w:eastAsia="Georgia" w:hAnsi="Georgia" w:cs="Georgia"/>
          <w:sz w:val="20"/>
          <w:szCs w:val="20"/>
        </w:rPr>
        <w:t xml:space="preserve"> responsibility and stewardship principles are important governing values. They ensure that we execute our ambitions for the business, our clients, stakeholders, the </w:t>
      </w:r>
      <w:r w:rsidR="00D34893">
        <w:rPr>
          <w:rFonts w:ascii="Georgia" w:eastAsia="Georgia" w:hAnsi="Georgia" w:cs="Georgia"/>
          <w:sz w:val="20"/>
          <w:szCs w:val="20"/>
        </w:rPr>
        <w:t>planet,</w:t>
      </w:r>
      <w:r>
        <w:rPr>
          <w:rFonts w:ascii="Georgia" w:eastAsia="Georgia" w:hAnsi="Georgia" w:cs="Georgia"/>
          <w:sz w:val="20"/>
          <w:szCs w:val="20"/>
        </w:rPr>
        <w:t xml:space="preserve"> and society. In FY22, the SUSTAIN@PwC committee continued to execute on the firm’s </w:t>
      </w:r>
      <w:r>
        <w:rPr>
          <w:rFonts w:ascii="Georgia" w:eastAsia="Georgia" w:hAnsi="Georgia" w:cs="Georgia"/>
          <w:sz w:val="20"/>
          <w:szCs w:val="20"/>
        </w:rPr>
        <w:t>sustainability strategy and ambitions.</w:t>
      </w:r>
    </w:p>
    <w:p w14:paraId="1D474A69" w14:textId="77777777" w:rsidR="007D4E30" w:rsidRDefault="007D4E30">
      <w:pPr>
        <w:rPr>
          <w:rFonts w:ascii="Georgia" w:eastAsia="Georgia" w:hAnsi="Georgia" w:cs="Georgia"/>
          <w:sz w:val="20"/>
          <w:szCs w:val="20"/>
        </w:rPr>
      </w:pPr>
    </w:p>
    <w:p w14:paraId="52FE5C8F" w14:textId="77777777" w:rsidR="007D4E30" w:rsidRDefault="007D4E30">
      <w:pPr>
        <w:rPr>
          <w:rFonts w:ascii="Georgia" w:eastAsia="Georgia" w:hAnsi="Georgia" w:cs="Georgia"/>
          <w:sz w:val="20"/>
          <w:szCs w:val="20"/>
        </w:rPr>
      </w:pPr>
    </w:p>
    <w:p w14:paraId="0331BF8E" w14:textId="77777777" w:rsidR="007D4E30" w:rsidRDefault="00E9201B">
      <w:pPr>
        <w:rPr>
          <w:rFonts w:ascii="Georgia" w:eastAsia="Georgia" w:hAnsi="Georgia" w:cs="Georgia"/>
          <w:sz w:val="20"/>
          <w:szCs w:val="20"/>
        </w:rPr>
      </w:pPr>
      <w:r>
        <w:rPr>
          <w:rFonts w:ascii="Georgia" w:eastAsia="Georgia" w:hAnsi="Georgia" w:cs="Georgia"/>
          <w:sz w:val="20"/>
          <w:szCs w:val="20"/>
        </w:rPr>
        <w:t xml:space="preserve">You can find PwC’s complete </w:t>
      </w:r>
      <w:hyperlink r:id="rId14">
        <w:r>
          <w:rPr>
            <w:rFonts w:ascii="Georgia" w:eastAsia="Georgia" w:hAnsi="Georgia" w:cs="Georgia"/>
            <w:color w:val="1155CC"/>
            <w:sz w:val="20"/>
            <w:szCs w:val="20"/>
            <w:u w:val="single"/>
          </w:rPr>
          <w:t xml:space="preserve">annual review 2022 </w:t>
        </w:r>
      </w:hyperlink>
      <w:hyperlink r:id="rId15">
        <w:r>
          <w:rPr>
            <w:rFonts w:ascii="Georgia" w:eastAsia="Georgia" w:hAnsi="Georgia" w:cs="Georgia"/>
            <w:color w:val="1155CC"/>
            <w:sz w:val="20"/>
            <w:szCs w:val="20"/>
            <w:u w:val="single"/>
          </w:rPr>
          <w:t>here</w:t>
        </w:r>
      </w:hyperlink>
      <w:r>
        <w:rPr>
          <w:rFonts w:ascii="Georgia" w:eastAsia="Georgia" w:hAnsi="Georgia" w:cs="Georgia"/>
          <w:sz w:val="20"/>
          <w:szCs w:val="20"/>
        </w:rPr>
        <w:t xml:space="preserve">. </w:t>
      </w:r>
    </w:p>
    <w:p w14:paraId="268E69C1" w14:textId="77777777" w:rsidR="007D4E30" w:rsidRDefault="007D4E30">
      <w:pPr>
        <w:spacing w:line="259" w:lineRule="auto"/>
        <w:rPr>
          <w:rFonts w:ascii="Georgia" w:eastAsia="Georgia" w:hAnsi="Georgia" w:cs="Georgia"/>
          <w:sz w:val="20"/>
          <w:szCs w:val="20"/>
        </w:rPr>
      </w:pPr>
    </w:p>
    <w:p w14:paraId="407BC950" w14:textId="77777777" w:rsidR="007D4E30" w:rsidRDefault="00E9201B">
      <w:pPr>
        <w:spacing w:line="259" w:lineRule="auto"/>
        <w:rPr>
          <w:rFonts w:ascii="Georgia" w:eastAsia="Georgia" w:hAnsi="Georgia" w:cs="Georgia"/>
          <w:sz w:val="20"/>
          <w:szCs w:val="20"/>
        </w:rPr>
      </w:pPr>
      <w:r>
        <w:rPr>
          <w:rFonts w:ascii="Georgia" w:eastAsia="Georgia" w:hAnsi="Georgia" w:cs="Georgia"/>
          <w:sz w:val="20"/>
          <w:szCs w:val="20"/>
        </w:rPr>
        <w:lastRenderedPageBreak/>
        <w:br/>
      </w:r>
    </w:p>
    <w:p w14:paraId="67E6D561" w14:textId="77777777" w:rsidR="007D4E30" w:rsidRDefault="007D4E30">
      <w:pPr>
        <w:spacing w:line="259" w:lineRule="auto"/>
        <w:rPr>
          <w:rFonts w:ascii="Georgia" w:eastAsia="Georgia" w:hAnsi="Georgia" w:cs="Georgia"/>
          <w:sz w:val="22"/>
          <w:szCs w:val="22"/>
        </w:rPr>
      </w:pPr>
    </w:p>
    <w:p w14:paraId="1D94E9D8" w14:textId="77777777" w:rsidR="007D4E30" w:rsidRDefault="00E9201B">
      <w:pPr>
        <w:spacing w:line="276" w:lineRule="auto"/>
        <w:ind w:right="284"/>
        <w:rPr>
          <w:rFonts w:ascii="Georgia" w:eastAsia="Georgia" w:hAnsi="Georgia" w:cs="Georgia"/>
          <w:b/>
          <w:color w:val="000000"/>
          <w:sz w:val="18"/>
          <w:szCs w:val="18"/>
        </w:rPr>
      </w:pPr>
      <w:r>
        <w:rPr>
          <w:rFonts w:ascii="Georgia" w:eastAsia="Georgia" w:hAnsi="Georgia" w:cs="Georgia"/>
          <w:b/>
          <w:color w:val="000000"/>
          <w:sz w:val="18"/>
          <w:szCs w:val="18"/>
        </w:rPr>
        <w:t>Notes to editors</w:t>
      </w:r>
    </w:p>
    <w:p w14:paraId="74DBC3C1" w14:textId="77777777" w:rsidR="007D4E30" w:rsidRDefault="007D4E30">
      <w:pPr>
        <w:spacing w:line="276" w:lineRule="auto"/>
        <w:ind w:right="284"/>
        <w:rPr>
          <w:rFonts w:ascii="Georgia" w:eastAsia="Georgia" w:hAnsi="Georgia" w:cs="Georgia"/>
          <w:color w:val="000000"/>
          <w:sz w:val="18"/>
          <w:szCs w:val="18"/>
        </w:rPr>
      </w:pPr>
    </w:p>
    <w:p w14:paraId="2DF1BD79" w14:textId="77777777" w:rsidR="007D4E30" w:rsidRDefault="00E9201B">
      <w:pPr>
        <w:spacing w:line="276" w:lineRule="auto"/>
        <w:rPr>
          <w:rFonts w:ascii="Georgia" w:eastAsia="Georgia" w:hAnsi="Georgia" w:cs="Georgia"/>
          <w:b/>
          <w:color w:val="000000"/>
          <w:sz w:val="18"/>
          <w:szCs w:val="18"/>
          <w:u w:val="single"/>
        </w:rPr>
      </w:pPr>
      <w:r>
        <w:rPr>
          <w:rFonts w:ascii="Georgia" w:eastAsia="Georgia" w:hAnsi="Georgia" w:cs="Georgia"/>
          <w:b/>
          <w:color w:val="000000"/>
          <w:sz w:val="18"/>
          <w:szCs w:val="18"/>
          <w:u w:val="single"/>
        </w:rPr>
        <w:t>About PwC</w:t>
      </w:r>
    </w:p>
    <w:p w14:paraId="2DFE9643" w14:textId="77777777" w:rsidR="007D4E30" w:rsidRDefault="007D4E30">
      <w:pPr>
        <w:spacing w:line="276" w:lineRule="auto"/>
        <w:ind w:right="284"/>
        <w:rPr>
          <w:rFonts w:ascii="Georgia" w:eastAsia="Georgia" w:hAnsi="Georgia" w:cs="Georgia"/>
          <w:color w:val="000000"/>
          <w:sz w:val="18"/>
          <w:szCs w:val="18"/>
        </w:rPr>
      </w:pPr>
    </w:p>
    <w:p w14:paraId="1AD750DF" w14:textId="371F2074" w:rsidR="007D4E30" w:rsidRDefault="00E9201B">
      <w:pPr>
        <w:numPr>
          <w:ilvl w:val="0"/>
          <w:numId w:val="3"/>
        </w:numPr>
        <w:spacing w:line="276" w:lineRule="auto"/>
        <w:ind w:right="284"/>
        <w:rPr>
          <w:rFonts w:ascii="Georgia" w:eastAsia="Georgia" w:hAnsi="Georgia" w:cs="Georgia"/>
          <w:sz w:val="18"/>
          <w:szCs w:val="18"/>
        </w:rPr>
      </w:pPr>
      <w:r>
        <w:rPr>
          <w:rFonts w:ascii="Georgia" w:eastAsia="Georgia" w:hAnsi="Georgia" w:cs="Georgia"/>
          <w:sz w:val="18"/>
          <w:szCs w:val="18"/>
        </w:rPr>
        <w:t>PwC Luxembourg (</w:t>
      </w:r>
      <w:hyperlink r:id="rId16">
        <w:r>
          <w:rPr>
            <w:rFonts w:ascii="Georgia" w:eastAsia="Georgia" w:hAnsi="Georgia" w:cs="Georgia"/>
            <w:color w:val="1155CC"/>
            <w:sz w:val="18"/>
            <w:szCs w:val="18"/>
            <w:u w:val="single"/>
          </w:rPr>
          <w:t>www.pwc.lu</w:t>
        </w:r>
      </w:hyperlink>
      <w:r>
        <w:rPr>
          <w:rFonts w:ascii="Georgia" w:eastAsia="Georgia" w:hAnsi="Georgia" w:cs="Georgia"/>
          <w:sz w:val="18"/>
          <w:szCs w:val="18"/>
        </w:rPr>
        <w:t xml:space="preserve">) is the largest professional services firm in Luxembourg with over 3,100 people employed from 85 different countries. PwC Luxembourg provides audit, tax and advisory services including management consulting, transaction, </w:t>
      </w:r>
      <w:r w:rsidR="00D34893">
        <w:rPr>
          <w:rFonts w:ascii="Georgia" w:eastAsia="Georgia" w:hAnsi="Georgia" w:cs="Georgia"/>
          <w:sz w:val="18"/>
          <w:szCs w:val="18"/>
        </w:rPr>
        <w:t>financing,</w:t>
      </w:r>
      <w:r>
        <w:rPr>
          <w:rFonts w:ascii="Georgia" w:eastAsia="Georgia" w:hAnsi="Georgia" w:cs="Georgia"/>
          <w:sz w:val="18"/>
          <w:szCs w:val="18"/>
        </w:rPr>
        <w:t xml:space="preserve"> and regulatory advice. T</w:t>
      </w:r>
      <w:r>
        <w:rPr>
          <w:rFonts w:ascii="Georgia" w:eastAsia="Georgia" w:hAnsi="Georgia" w:cs="Georgia"/>
          <w:sz w:val="18"/>
          <w:szCs w:val="18"/>
        </w:rPr>
        <w:t>he firm provides advice to a wide variety of clients from local and middle market entrepreneurs to large multinational companies operating from Luxembourg and the Greater Region. The firm helps its clients create the value they are looking for by contribut</w:t>
      </w:r>
      <w:r>
        <w:rPr>
          <w:rFonts w:ascii="Georgia" w:eastAsia="Georgia" w:hAnsi="Georgia" w:cs="Georgia"/>
          <w:sz w:val="18"/>
          <w:szCs w:val="18"/>
        </w:rPr>
        <w:t>ing to the smooth operation of the capital markets and providing advice through an industry-focused approach.</w:t>
      </w:r>
    </w:p>
    <w:p w14:paraId="51464E42" w14:textId="77777777" w:rsidR="007D4E30" w:rsidRDefault="007D4E30">
      <w:pPr>
        <w:spacing w:line="276" w:lineRule="auto"/>
        <w:ind w:left="720" w:right="284"/>
        <w:rPr>
          <w:rFonts w:ascii="Georgia" w:eastAsia="Georgia" w:hAnsi="Georgia" w:cs="Georgia"/>
          <w:sz w:val="18"/>
          <w:szCs w:val="18"/>
        </w:rPr>
      </w:pPr>
    </w:p>
    <w:p w14:paraId="11350C40" w14:textId="77777777" w:rsidR="007D4E30" w:rsidRDefault="00E9201B">
      <w:pPr>
        <w:numPr>
          <w:ilvl w:val="0"/>
          <w:numId w:val="3"/>
        </w:numPr>
        <w:spacing w:line="276" w:lineRule="auto"/>
        <w:ind w:right="284"/>
        <w:rPr>
          <w:rFonts w:ascii="Georgia" w:eastAsia="Georgia" w:hAnsi="Georgia" w:cs="Georgia"/>
          <w:sz w:val="18"/>
          <w:szCs w:val="18"/>
        </w:rPr>
      </w:pPr>
      <w:r>
        <w:rPr>
          <w:rFonts w:ascii="Georgia" w:eastAsia="Georgia" w:hAnsi="Georgia" w:cs="Georgia"/>
          <w:sz w:val="18"/>
          <w:szCs w:val="18"/>
        </w:rPr>
        <w:t>At PwC, our purpose is to build trust in society and solve important problems. We’re a network of firms in 152 countries with over 328,000 people</w:t>
      </w:r>
      <w:r>
        <w:rPr>
          <w:rFonts w:ascii="Georgia" w:eastAsia="Georgia" w:hAnsi="Georgia" w:cs="Georgia"/>
          <w:sz w:val="18"/>
          <w:szCs w:val="18"/>
        </w:rPr>
        <w:t xml:space="preserve"> who are committed to delivering quality in assurance, advisory and tax services. Find out more and tell us what matters to you by visiting us at </w:t>
      </w:r>
      <w:hyperlink r:id="rId17">
        <w:r>
          <w:rPr>
            <w:rFonts w:ascii="Georgia" w:eastAsia="Georgia" w:hAnsi="Georgia" w:cs="Georgia"/>
            <w:color w:val="1155CC"/>
            <w:sz w:val="18"/>
            <w:szCs w:val="18"/>
            <w:u w:val="single"/>
          </w:rPr>
          <w:t>www.pwc.com</w:t>
        </w:r>
      </w:hyperlink>
      <w:r>
        <w:rPr>
          <w:rFonts w:ascii="Arial" w:eastAsia="Arial" w:hAnsi="Arial" w:cs="Arial"/>
          <w:sz w:val="20"/>
          <w:szCs w:val="20"/>
        </w:rPr>
        <w:t xml:space="preserve"> and </w:t>
      </w:r>
      <w:hyperlink r:id="rId18">
        <w:r>
          <w:rPr>
            <w:rFonts w:ascii="Arial" w:eastAsia="Arial" w:hAnsi="Arial" w:cs="Arial"/>
            <w:color w:val="1155CC"/>
            <w:sz w:val="20"/>
            <w:szCs w:val="20"/>
            <w:u w:val="single"/>
          </w:rPr>
          <w:t>www.pwc.lu</w:t>
        </w:r>
      </w:hyperlink>
      <w:r>
        <w:rPr>
          <w:rFonts w:ascii="Arial" w:eastAsia="Arial" w:hAnsi="Arial" w:cs="Arial"/>
          <w:sz w:val="20"/>
          <w:szCs w:val="20"/>
        </w:rPr>
        <w:t>.</w:t>
      </w:r>
    </w:p>
    <w:p w14:paraId="3B23B7A9" w14:textId="77777777" w:rsidR="007D4E30" w:rsidRDefault="007D4E30">
      <w:pPr>
        <w:spacing w:line="276" w:lineRule="auto"/>
        <w:ind w:right="284"/>
        <w:rPr>
          <w:rFonts w:ascii="Georgia" w:eastAsia="Georgia" w:hAnsi="Georgia" w:cs="Georgia"/>
          <w:color w:val="FF0000"/>
          <w:sz w:val="20"/>
          <w:szCs w:val="20"/>
        </w:rPr>
      </w:pPr>
    </w:p>
    <w:p w14:paraId="6449A203" w14:textId="77777777" w:rsidR="007D4E30" w:rsidRDefault="007D4E30">
      <w:pPr>
        <w:spacing w:line="276" w:lineRule="auto"/>
        <w:jc w:val="center"/>
        <w:rPr>
          <w:rFonts w:ascii="Georgia" w:eastAsia="Georgia" w:hAnsi="Georgia" w:cs="Georgia"/>
          <w:color w:val="FF0000"/>
          <w:sz w:val="20"/>
          <w:szCs w:val="20"/>
        </w:rPr>
      </w:pPr>
    </w:p>
    <w:p w14:paraId="77D94233" w14:textId="77777777" w:rsidR="007D4E30" w:rsidRDefault="007D4E30">
      <w:pPr>
        <w:rPr>
          <w:color w:val="FF0000"/>
        </w:rPr>
      </w:pPr>
    </w:p>
    <w:sectPr w:rsidR="007D4E30">
      <w:headerReference w:type="default" r:id="rId19"/>
      <w:footerReference w:type="default" r:id="rId2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08D7" w14:textId="77777777" w:rsidR="00E9201B" w:rsidRDefault="00E9201B">
      <w:r>
        <w:separator/>
      </w:r>
    </w:p>
  </w:endnote>
  <w:endnote w:type="continuationSeparator" w:id="0">
    <w:p w14:paraId="694B8867" w14:textId="77777777" w:rsidR="00E9201B" w:rsidRDefault="00E9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301A" w14:textId="77777777" w:rsidR="007D4E30" w:rsidRDefault="00E9201B">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PricewaterhouseCoopers, Société coopérative, 2, rue Gerhard Mercator B.P. 1443 L-1014 Luxembourg</w:t>
    </w:r>
  </w:p>
  <w:p w14:paraId="63715DE3" w14:textId="77777777" w:rsidR="007D4E30" w:rsidRDefault="00E9201B">
    <w:pPr>
      <w:pBdr>
        <w:top w:val="nil"/>
        <w:left w:val="nil"/>
        <w:bottom w:val="nil"/>
        <w:right w:val="nil"/>
        <w:between w:val="nil"/>
      </w:pBdr>
      <w:rPr>
        <w:rFonts w:ascii="Georgia" w:eastAsia="Georgia" w:hAnsi="Georgia" w:cs="Georgia"/>
        <w:i/>
        <w:color w:val="000000"/>
        <w:sz w:val="16"/>
        <w:szCs w:val="16"/>
      </w:rPr>
    </w:pPr>
    <w:r>
      <w:rPr>
        <w:rFonts w:ascii="Georgia" w:eastAsia="Georgia" w:hAnsi="Georgia" w:cs="Georgia"/>
        <w:i/>
        <w:color w:val="000000"/>
        <w:sz w:val="16"/>
        <w:szCs w:val="16"/>
      </w:rPr>
      <w:t>T: +352 494848 1, F:+352 494848 2900, www.pwc.lu</w:t>
    </w:r>
  </w:p>
  <w:p w14:paraId="0F2BC4D4" w14:textId="77777777" w:rsidR="007D4E30" w:rsidRDefault="007D4E3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2087" w14:textId="77777777" w:rsidR="00E9201B" w:rsidRDefault="00E9201B">
      <w:r>
        <w:separator/>
      </w:r>
    </w:p>
  </w:footnote>
  <w:footnote w:type="continuationSeparator" w:id="0">
    <w:p w14:paraId="60E4CF90" w14:textId="77777777" w:rsidR="00E9201B" w:rsidRDefault="00E9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FA48" w14:textId="77777777" w:rsidR="007D4E30" w:rsidRDefault="00E9201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D79E003" wp14:editId="2793BEC3">
          <wp:simplePos x="0" y="0"/>
          <wp:positionH relativeFrom="column">
            <wp:posOffset>-904870</wp:posOffset>
          </wp:positionH>
          <wp:positionV relativeFrom="paragraph">
            <wp:posOffset>-449576</wp:posOffset>
          </wp:positionV>
          <wp:extent cx="1343025" cy="12071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1207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A65"/>
    <w:multiLevelType w:val="multilevel"/>
    <w:tmpl w:val="FD82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37452"/>
    <w:multiLevelType w:val="multilevel"/>
    <w:tmpl w:val="763C6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4C34F0"/>
    <w:multiLevelType w:val="multilevel"/>
    <w:tmpl w:val="1AE4E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687C7D"/>
    <w:multiLevelType w:val="multilevel"/>
    <w:tmpl w:val="2DC2F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30"/>
    <w:rsid w:val="007D4E30"/>
    <w:rsid w:val="00D34893"/>
    <w:rsid w:val="00E92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7BB9"/>
  <w15:docId w15:val="{20863712-5B87-49A1-AC29-1A7C3521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rey@pwc.com" TargetMode="External"/><Relationship Id="rId13" Type="http://schemas.openxmlformats.org/officeDocument/2006/relationships/hyperlink" Target="https://www.pwc.lu/en/about-us/pwc-luxembourg-annual-review-2021/planet/net-zero.html" TargetMode="External"/><Relationship Id="rId18" Type="http://schemas.openxmlformats.org/officeDocument/2006/relationships/hyperlink" Target="http://www.pwc.l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uline-andre@pwc.com" TargetMode="External"/><Relationship Id="rId12" Type="http://schemas.openxmlformats.org/officeDocument/2006/relationships/hyperlink" Target="https://www.linkedin.com/in/john-parkhouse-45481918/?originalSubdomain=lu" TargetMode="External"/><Relationship Id="rId17" Type="http://schemas.openxmlformats.org/officeDocument/2006/relationships/hyperlink" Target="http://www.pwc.com" TargetMode="External"/><Relationship Id="rId2" Type="http://schemas.openxmlformats.org/officeDocument/2006/relationships/styles" Target="styles.xml"/><Relationship Id="rId16" Type="http://schemas.openxmlformats.org/officeDocument/2006/relationships/hyperlink" Target="http://www.pwc.l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pwc-luxembourg" TargetMode="External"/><Relationship Id="rId5" Type="http://schemas.openxmlformats.org/officeDocument/2006/relationships/footnotes" Target="footnotes.xml"/><Relationship Id="rId15" Type="http://schemas.openxmlformats.org/officeDocument/2006/relationships/hyperlink" Target="https://www.pwc.lu/en/about-us/pwc-luxembourg-annual-review-2022.html" TargetMode="External"/><Relationship Id="rId10" Type="http://schemas.openxmlformats.org/officeDocument/2006/relationships/hyperlink" Target="https://twitter.com/PwC_Luxembou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_press@pwc.com" TargetMode="External"/><Relationship Id="rId14" Type="http://schemas.openxmlformats.org/officeDocument/2006/relationships/hyperlink" Target="https://www.pwc.lu/en/about-us/pwc-luxembourg-annual-review-2022.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1445</Words>
  <Characters>8238</Characters>
  <Application>Microsoft Office Word</Application>
  <DocSecurity>0</DocSecurity>
  <Lines>68</Lines>
  <Paragraphs>19</Paragraphs>
  <ScaleCrop>false</ScaleCrop>
  <Company>PricewaterhouseCoopers</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Carey (LU)</cp:lastModifiedBy>
  <cp:revision>3</cp:revision>
  <dcterms:created xsi:type="dcterms:W3CDTF">2022-10-25T04:47:00Z</dcterms:created>
  <dcterms:modified xsi:type="dcterms:W3CDTF">2022-10-25T04:49:00Z</dcterms:modified>
</cp:coreProperties>
</file>