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3A096402" w:rsidR="003F03A1" w:rsidRDefault="003F03A1" w:rsidP="0A8C1D82">
      <w:pPr>
        <w:rPr>
          <w:lang w:val="en-GB"/>
        </w:rPr>
      </w:pPr>
    </w:p>
    <w:p w14:paraId="0A37501D" w14:textId="77777777" w:rsidR="003F03A1" w:rsidRDefault="003F03A1" w:rsidP="0A8C1D82">
      <w:pPr>
        <w:pBdr>
          <w:top w:val="nil"/>
          <w:left w:val="nil"/>
          <w:bottom w:val="nil"/>
          <w:right w:val="nil"/>
          <w:between w:val="nil"/>
        </w:pBdr>
        <w:rPr>
          <w:rFonts w:ascii="Arial Narrow" w:eastAsia="Arial Narrow" w:hAnsi="Arial Narrow" w:cs="Arial Narrow"/>
          <w:b/>
          <w:bCs/>
          <w:color w:val="000000"/>
          <w:sz w:val="22"/>
          <w:szCs w:val="22"/>
          <w:lang w:val="en-GB"/>
        </w:rPr>
      </w:pPr>
    </w:p>
    <w:p w14:paraId="7F7FE3C8" w14:textId="77777777" w:rsidR="003F03A1" w:rsidRDefault="00742B55" w:rsidP="0A8C1D82">
      <w:pPr>
        <w:pBdr>
          <w:top w:val="single" w:sz="8" w:space="1" w:color="DC6900"/>
        </w:pBdr>
        <w:spacing w:after="240"/>
        <w:rPr>
          <w:rFonts w:ascii="Georgia" w:eastAsia="Georgia" w:hAnsi="Georgia" w:cs="Georgia"/>
          <w:b/>
          <w:bCs/>
          <w:i/>
          <w:iCs/>
          <w:color w:val="000000"/>
          <w:sz w:val="20"/>
          <w:szCs w:val="20"/>
          <w:lang w:val="en-GB"/>
        </w:rPr>
      </w:pPr>
      <w:r w:rsidRPr="0A8C1D82">
        <w:rPr>
          <w:rFonts w:ascii="Georgia" w:eastAsia="Georgia" w:hAnsi="Georgia" w:cs="Georgia"/>
          <w:b/>
          <w:bCs/>
          <w:i/>
          <w:iCs/>
          <w:color w:val="000000" w:themeColor="text1"/>
          <w:sz w:val="20"/>
          <w:szCs w:val="20"/>
          <w:lang w:val="en-GB"/>
        </w:rPr>
        <w:t>Press release</w:t>
      </w:r>
    </w:p>
    <w:tbl>
      <w:tblPr>
        <w:tblW w:w="8910" w:type="dxa"/>
        <w:tblInd w:w="-115" w:type="dxa"/>
        <w:tblLayout w:type="fixed"/>
        <w:tblLook w:val="0000" w:firstRow="0" w:lastRow="0" w:firstColumn="0" w:lastColumn="0" w:noHBand="0" w:noVBand="0"/>
      </w:tblPr>
      <w:tblGrid>
        <w:gridCol w:w="2025"/>
        <w:gridCol w:w="6885"/>
      </w:tblGrid>
      <w:tr w:rsidR="003F03A1" w14:paraId="43EBE62F" w14:textId="77777777" w:rsidTr="5857E542">
        <w:trPr>
          <w:trHeight w:val="220"/>
        </w:trPr>
        <w:tc>
          <w:tcPr>
            <w:tcW w:w="2025" w:type="dxa"/>
          </w:tcPr>
          <w:p w14:paraId="5DAB6C7B" w14:textId="77777777" w:rsidR="003F03A1" w:rsidRDefault="003F03A1" w:rsidP="0A8C1D82">
            <w:pPr>
              <w:rPr>
                <w:rFonts w:ascii="Georgia" w:eastAsia="Georgia" w:hAnsi="Georgia" w:cs="Georgia"/>
                <w:i/>
                <w:iCs/>
                <w:sz w:val="20"/>
                <w:szCs w:val="20"/>
                <w:lang w:val="en-GB"/>
              </w:rPr>
            </w:pPr>
          </w:p>
          <w:p w14:paraId="491072FA" w14:textId="77777777" w:rsidR="003F03A1" w:rsidRDefault="00742B55" w:rsidP="0A8C1D82">
            <w:pPr>
              <w:rPr>
                <w:rFonts w:ascii="Georgia" w:eastAsia="Georgia" w:hAnsi="Georgia" w:cs="Georgia"/>
                <w:i/>
                <w:iCs/>
                <w:sz w:val="20"/>
                <w:szCs w:val="20"/>
                <w:lang w:val="en-GB"/>
              </w:rPr>
            </w:pPr>
            <w:r w:rsidRPr="0A8C1D82">
              <w:rPr>
                <w:rFonts w:ascii="Georgia" w:eastAsia="Georgia" w:hAnsi="Georgia" w:cs="Georgia"/>
                <w:i/>
                <w:iCs/>
                <w:sz w:val="20"/>
                <w:szCs w:val="20"/>
                <w:lang w:val="en-GB"/>
              </w:rPr>
              <w:t>Date</w:t>
            </w:r>
          </w:p>
        </w:tc>
        <w:tc>
          <w:tcPr>
            <w:tcW w:w="6885" w:type="dxa"/>
          </w:tcPr>
          <w:p w14:paraId="02EB378F" w14:textId="77777777" w:rsidR="003F03A1" w:rsidRPr="00502FA1" w:rsidRDefault="003F03A1" w:rsidP="0A8C1D82">
            <w:pPr>
              <w:rPr>
                <w:rFonts w:ascii="Georgia" w:eastAsia="Georgia" w:hAnsi="Georgia" w:cs="Georgia"/>
                <w:sz w:val="20"/>
                <w:szCs w:val="20"/>
                <w:lang w:val="en-GB"/>
              </w:rPr>
            </w:pPr>
          </w:p>
          <w:p w14:paraId="226992DA" w14:textId="13956B0F" w:rsidR="003F03A1" w:rsidRPr="00502FA1" w:rsidRDefault="6E1B51D6" w:rsidP="0A8C1D82">
            <w:pPr>
              <w:tabs>
                <w:tab w:val="left" w:pos="1440"/>
              </w:tabs>
              <w:rPr>
                <w:rFonts w:ascii="Georgia" w:eastAsia="Georgia" w:hAnsi="Georgia" w:cs="Georgia"/>
                <w:sz w:val="20"/>
                <w:szCs w:val="20"/>
                <w:lang w:val="en-GB"/>
              </w:rPr>
            </w:pPr>
            <w:r w:rsidRPr="00502FA1">
              <w:rPr>
                <w:rFonts w:ascii="Georgia" w:eastAsia="Georgia" w:hAnsi="Georgia" w:cs="Georgia"/>
                <w:sz w:val="20"/>
                <w:szCs w:val="20"/>
                <w:lang w:val="en-GB"/>
              </w:rPr>
              <w:t>10/12/2025</w:t>
            </w:r>
          </w:p>
        </w:tc>
      </w:tr>
      <w:tr w:rsidR="003F03A1" w14:paraId="08A1864C" w14:textId="77777777" w:rsidTr="5857E542">
        <w:trPr>
          <w:trHeight w:val="1000"/>
        </w:trPr>
        <w:tc>
          <w:tcPr>
            <w:tcW w:w="2025" w:type="dxa"/>
          </w:tcPr>
          <w:p w14:paraId="6A05A809" w14:textId="77777777" w:rsidR="003F03A1" w:rsidRDefault="003F03A1" w:rsidP="0A8C1D82">
            <w:pPr>
              <w:rPr>
                <w:rFonts w:ascii="Georgia" w:eastAsia="Georgia" w:hAnsi="Georgia" w:cs="Georgia"/>
                <w:i/>
                <w:iCs/>
                <w:sz w:val="20"/>
                <w:szCs w:val="20"/>
                <w:lang w:val="en-GB"/>
              </w:rPr>
            </w:pPr>
          </w:p>
          <w:p w14:paraId="55300736" w14:textId="77777777" w:rsidR="003F03A1" w:rsidRDefault="00742B55" w:rsidP="0A8C1D82">
            <w:pPr>
              <w:rPr>
                <w:rFonts w:ascii="Georgia" w:eastAsia="Georgia" w:hAnsi="Georgia" w:cs="Georgia"/>
                <w:i/>
                <w:iCs/>
                <w:sz w:val="20"/>
                <w:szCs w:val="20"/>
                <w:lang w:val="en-GB"/>
              </w:rPr>
            </w:pPr>
            <w:r w:rsidRPr="0A8C1D82">
              <w:rPr>
                <w:rFonts w:ascii="Georgia" w:eastAsia="Georgia" w:hAnsi="Georgia" w:cs="Georgia"/>
                <w:i/>
                <w:iCs/>
                <w:sz w:val="20"/>
                <w:szCs w:val="20"/>
                <w:lang w:val="en-GB"/>
              </w:rPr>
              <w:t>Contact</w:t>
            </w:r>
          </w:p>
          <w:p w14:paraId="5A39BBE3" w14:textId="77777777" w:rsidR="003F03A1" w:rsidRDefault="003F03A1" w:rsidP="0A8C1D82">
            <w:pPr>
              <w:rPr>
                <w:rFonts w:ascii="Georgia" w:eastAsia="Georgia" w:hAnsi="Georgia" w:cs="Georgia"/>
                <w:sz w:val="20"/>
                <w:szCs w:val="20"/>
                <w:lang w:val="en-GB"/>
              </w:rPr>
            </w:pPr>
          </w:p>
          <w:p w14:paraId="41C8F396" w14:textId="77777777" w:rsidR="003F03A1" w:rsidRDefault="003F03A1" w:rsidP="0A8C1D82">
            <w:pPr>
              <w:rPr>
                <w:rFonts w:ascii="Georgia" w:eastAsia="Georgia" w:hAnsi="Georgia" w:cs="Georgia"/>
                <w:sz w:val="20"/>
                <w:szCs w:val="20"/>
                <w:lang w:val="en-GB"/>
              </w:rPr>
            </w:pPr>
          </w:p>
          <w:p w14:paraId="72A3D3EC" w14:textId="77777777" w:rsidR="003F03A1" w:rsidRDefault="003F03A1" w:rsidP="0A8C1D82">
            <w:pPr>
              <w:rPr>
                <w:rFonts w:ascii="Georgia" w:eastAsia="Georgia" w:hAnsi="Georgia" w:cs="Georgia"/>
                <w:i/>
                <w:iCs/>
                <w:sz w:val="20"/>
                <w:szCs w:val="20"/>
                <w:lang w:val="en-GB"/>
              </w:rPr>
            </w:pPr>
          </w:p>
          <w:p w14:paraId="0D0B940D" w14:textId="77777777" w:rsidR="003F03A1" w:rsidRDefault="003F03A1" w:rsidP="0A8C1D82">
            <w:pPr>
              <w:rPr>
                <w:rFonts w:ascii="Georgia" w:eastAsia="Georgia" w:hAnsi="Georgia" w:cs="Georgia"/>
                <w:sz w:val="20"/>
                <w:szCs w:val="20"/>
                <w:lang w:val="en-GB"/>
              </w:rPr>
            </w:pPr>
          </w:p>
        </w:tc>
        <w:tc>
          <w:tcPr>
            <w:tcW w:w="6885" w:type="dxa"/>
          </w:tcPr>
          <w:p w14:paraId="0E27B00A" w14:textId="77777777" w:rsidR="003F03A1" w:rsidRPr="00271DF2" w:rsidRDefault="003F03A1" w:rsidP="0A8C1D82">
            <w:pPr>
              <w:tabs>
                <w:tab w:val="left" w:pos="1440"/>
              </w:tabs>
              <w:rPr>
                <w:rFonts w:ascii="Georgia" w:eastAsia="Georgia" w:hAnsi="Georgia" w:cs="Georgia"/>
                <w:color w:val="000000"/>
                <w:sz w:val="20"/>
                <w:szCs w:val="20"/>
                <w:lang w:val="fr-CH"/>
              </w:rPr>
            </w:pPr>
          </w:p>
          <w:p w14:paraId="7991E417" w14:textId="77777777" w:rsidR="00D37162" w:rsidRPr="00271DF2" w:rsidRDefault="00D37162" w:rsidP="0A8C1D82">
            <w:pPr>
              <w:tabs>
                <w:tab w:val="left" w:pos="1440"/>
              </w:tabs>
              <w:rPr>
                <w:rFonts w:ascii="Georgia" w:eastAsia="Georgia" w:hAnsi="Georgia" w:cs="Georgia"/>
                <w:sz w:val="20"/>
                <w:szCs w:val="20"/>
                <w:lang w:val="fr-CH"/>
              </w:rPr>
            </w:pPr>
            <w:r w:rsidRPr="00271DF2">
              <w:rPr>
                <w:rFonts w:ascii="Georgia" w:eastAsia="Georgia" w:hAnsi="Georgia" w:cs="Georgia"/>
                <w:sz w:val="20"/>
                <w:szCs w:val="20"/>
                <w:lang w:val="fr-CH"/>
              </w:rPr>
              <w:t>PwC</w:t>
            </w:r>
          </w:p>
          <w:p w14:paraId="3915A30E" w14:textId="77777777" w:rsidR="00D37162" w:rsidRPr="00271DF2" w:rsidRDefault="00D37162" w:rsidP="0A8C1D82">
            <w:pPr>
              <w:tabs>
                <w:tab w:val="left" w:pos="1440"/>
              </w:tabs>
              <w:rPr>
                <w:rFonts w:ascii="Georgia" w:eastAsia="Georgia" w:hAnsi="Georgia" w:cs="Georgia"/>
                <w:sz w:val="20"/>
                <w:szCs w:val="20"/>
                <w:lang w:val="fr-CH"/>
              </w:rPr>
            </w:pPr>
          </w:p>
          <w:p w14:paraId="0500765D" w14:textId="48F6A49B" w:rsidR="003F03A1" w:rsidRPr="00271DF2" w:rsidRDefault="00742B55" w:rsidP="0A8C1D82">
            <w:pPr>
              <w:tabs>
                <w:tab w:val="left" w:pos="1440"/>
              </w:tabs>
              <w:rPr>
                <w:rFonts w:ascii="Georgia" w:eastAsia="Georgia" w:hAnsi="Georgia" w:cs="Georgia"/>
                <w:sz w:val="20"/>
                <w:szCs w:val="20"/>
                <w:lang w:val="fr-CH"/>
              </w:rPr>
            </w:pPr>
            <w:r w:rsidRPr="00271DF2">
              <w:rPr>
                <w:rFonts w:ascii="Georgia" w:eastAsia="Georgia" w:hAnsi="Georgia" w:cs="Georgia"/>
                <w:sz w:val="20"/>
                <w:szCs w:val="20"/>
                <w:lang w:val="fr-CH"/>
              </w:rPr>
              <w:t>Pauline André</w:t>
            </w:r>
          </w:p>
          <w:p w14:paraId="541107C4" w14:textId="77777777" w:rsidR="003F03A1" w:rsidRPr="00271DF2" w:rsidRDefault="00742B55" w:rsidP="0A8C1D82">
            <w:pPr>
              <w:tabs>
                <w:tab w:val="left" w:pos="1440"/>
              </w:tabs>
              <w:rPr>
                <w:rFonts w:ascii="Georgia" w:eastAsia="Georgia" w:hAnsi="Georgia" w:cs="Georgia"/>
                <w:sz w:val="20"/>
                <w:szCs w:val="20"/>
                <w:lang w:val="fr-CH"/>
              </w:rPr>
            </w:pPr>
            <w:r w:rsidRPr="00271DF2">
              <w:rPr>
                <w:rFonts w:ascii="Georgia" w:eastAsia="Georgia" w:hAnsi="Georgia" w:cs="Georgia"/>
                <w:sz w:val="20"/>
                <w:szCs w:val="20"/>
                <w:lang w:val="fr-CH"/>
              </w:rPr>
              <w:t>+(352) 621 333 582</w:t>
            </w:r>
          </w:p>
          <w:p w14:paraId="533E808C" w14:textId="77777777" w:rsidR="003F03A1" w:rsidRPr="00271DF2" w:rsidRDefault="00742B55" w:rsidP="0A8C1D82">
            <w:pPr>
              <w:tabs>
                <w:tab w:val="left" w:pos="1440"/>
              </w:tabs>
              <w:rPr>
                <w:rFonts w:ascii="Georgia" w:eastAsia="Georgia" w:hAnsi="Georgia" w:cs="Georgia"/>
                <w:sz w:val="20"/>
                <w:szCs w:val="20"/>
                <w:lang w:val="fr-CH"/>
              </w:rPr>
            </w:pPr>
            <w:hyperlink r:id="rId10">
              <w:r w:rsidRPr="00271DF2">
                <w:rPr>
                  <w:rFonts w:ascii="Georgia" w:eastAsia="Georgia" w:hAnsi="Georgia" w:cs="Georgia"/>
                  <w:color w:val="1155CC"/>
                  <w:sz w:val="20"/>
                  <w:szCs w:val="20"/>
                  <w:u w:val="single"/>
                  <w:lang w:val="fr-CH"/>
                </w:rPr>
                <w:t>pauline.andre@pwc.lu</w:t>
              </w:r>
            </w:hyperlink>
            <w:r w:rsidRPr="00271DF2">
              <w:rPr>
                <w:rFonts w:ascii="Georgia" w:eastAsia="Georgia" w:hAnsi="Georgia" w:cs="Georgia"/>
                <w:sz w:val="20"/>
                <w:szCs w:val="20"/>
                <w:lang w:val="fr-CH"/>
              </w:rPr>
              <w:t xml:space="preserve"> </w:t>
            </w:r>
          </w:p>
          <w:p w14:paraId="60061E4C" w14:textId="77777777" w:rsidR="003F03A1" w:rsidRPr="00271DF2" w:rsidRDefault="003F03A1" w:rsidP="0A8C1D82">
            <w:pPr>
              <w:tabs>
                <w:tab w:val="left" w:pos="1440"/>
              </w:tabs>
              <w:rPr>
                <w:rFonts w:ascii="Georgia" w:eastAsia="Georgia" w:hAnsi="Georgia" w:cs="Georgia"/>
                <w:color w:val="000000"/>
                <w:sz w:val="20"/>
                <w:szCs w:val="20"/>
                <w:lang w:val="fr-CH"/>
              </w:rPr>
            </w:pPr>
          </w:p>
          <w:p w14:paraId="12E1F61E" w14:textId="77777777" w:rsidR="003F03A1" w:rsidRDefault="00742B55" w:rsidP="0A8C1D82">
            <w:pPr>
              <w:tabs>
                <w:tab w:val="left" w:pos="1440"/>
              </w:tabs>
              <w:rPr>
                <w:rFonts w:ascii="Georgia" w:eastAsia="Georgia" w:hAnsi="Georgia" w:cs="Georgia"/>
                <w:color w:val="000000"/>
                <w:sz w:val="20"/>
                <w:szCs w:val="20"/>
                <w:lang w:val="en-GB"/>
              </w:rPr>
            </w:pPr>
            <w:r w:rsidRPr="0A8C1D82">
              <w:rPr>
                <w:rFonts w:ascii="Georgia" w:eastAsia="Georgia" w:hAnsi="Georgia" w:cs="Georgia"/>
                <w:color w:val="000000" w:themeColor="text1"/>
                <w:sz w:val="20"/>
                <w:szCs w:val="20"/>
                <w:lang w:val="en-GB"/>
              </w:rPr>
              <w:t>Mary Carey</w:t>
            </w:r>
          </w:p>
          <w:p w14:paraId="3550AA95" w14:textId="77777777" w:rsidR="003F03A1" w:rsidRDefault="00742B55" w:rsidP="0A8C1D82">
            <w:pPr>
              <w:tabs>
                <w:tab w:val="left" w:pos="1440"/>
              </w:tabs>
              <w:rPr>
                <w:rFonts w:ascii="Georgia" w:eastAsia="Georgia" w:hAnsi="Georgia" w:cs="Georgia"/>
                <w:sz w:val="20"/>
                <w:szCs w:val="20"/>
                <w:lang w:val="en-GB"/>
              </w:rPr>
            </w:pPr>
            <w:r w:rsidRPr="0A8C1D82">
              <w:rPr>
                <w:rFonts w:ascii="Georgia" w:eastAsia="Georgia" w:hAnsi="Georgia" w:cs="Georgia"/>
                <w:color w:val="000000" w:themeColor="text1"/>
                <w:sz w:val="20"/>
                <w:szCs w:val="20"/>
                <w:lang w:val="en-GB"/>
              </w:rPr>
              <w:t xml:space="preserve">(+352) </w:t>
            </w:r>
            <w:r w:rsidRPr="0A8C1D82">
              <w:rPr>
                <w:rFonts w:ascii="Georgia" w:eastAsia="Georgia" w:hAnsi="Georgia" w:cs="Georgia"/>
                <w:sz w:val="20"/>
                <w:szCs w:val="20"/>
                <w:lang w:val="en-GB"/>
              </w:rPr>
              <w:t>621</w:t>
            </w:r>
            <w:r w:rsidRPr="0A8C1D82">
              <w:rPr>
                <w:rFonts w:ascii="Georgia" w:eastAsia="Georgia" w:hAnsi="Georgia" w:cs="Georgia"/>
                <w:color w:val="000000" w:themeColor="text1"/>
                <w:sz w:val="20"/>
                <w:szCs w:val="20"/>
                <w:lang w:val="en-GB"/>
              </w:rPr>
              <w:t xml:space="preserve"> </w:t>
            </w:r>
            <w:r w:rsidRPr="0A8C1D82">
              <w:rPr>
                <w:rFonts w:ascii="Georgia" w:eastAsia="Georgia" w:hAnsi="Georgia" w:cs="Georgia"/>
                <w:sz w:val="20"/>
                <w:szCs w:val="20"/>
                <w:lang w:val="en-GB"/>
              </w:rPr>
              <w:t>332</w:t>
            </w:r>
            <w:r w:rsidRPr="0A8C1D82">
              <w:rPr>
                <w:rFonts w:ascii="Georgia" w:eastAsia="Georgia" w:hAnsi="Georgia" w:cs="Georgia"/>
                <w:color w:val="000000" w:themeColor="text1"/>
                <w:sz w:val="20"/>
                <w:szCs w:val="20"/>
                <w:lang w:val="en-GB"/>
              </w:rPr>
              <w:t xml:space="preserve"> </w:t>
            </w:r>
            <w:r w:rsidRPr="0A8C1D82">
              <w:rPr>
                <w:rFonts w:ascii="Georgia" w:eastAsia="Georgia" w:hAnsi="Georgia" w:cs="Georgia"/>
                <w:sz w:val="20"/>
                <w:szCs w:val="20"/>
                <w:lang w:val="en-GB"/>
              </w:rPr>
              <w:t>863</w:t>
            </w:r>
          </w:p>
          <w:p w14:paraId="6613511B" w14:textId="77777777" w:rsidR="003F03A1" w:rsidRDefault="00742B55" w:rsidP="0A8C1D82">
            <w:pPr>
              <w:tabs>
                <w:tab w:val="left" w:pos="1440"/>
              </w:tabs>
              <w:rPr>
                <w:rFonts w:ascii="Georgia" w:eastAsia="Georgia" w:hAnsi="Georgia" w:cs="Georgia"/>
                <w:color w:val="0000FF"/>
                <w:sz w:val="20"/>
                <w:szCs w:val="20"/>
                <w:u w:val="single"/>
                <w:lang w:val="en-GB"/>
              </w:rPr>
            </w:pPr>
            <w:hyperlink r:id="rId11">
              <w:r w:rsidRPr="0A8C1D82">
                <w:rPr>
                  <w:rFonts w:ascii="Georgia" w:eastAsia="Georgia" w:hAnsi="Georgia" w:cs="Georgia"/>
                  <w:color w:val="1155CC"/>
                  <w:sz w:val="20"/>
                  <w:szCs w:val="20"/>
                  <w:u w:val="single"/>
                  <w:lang w:val="en-GB"/>
                </w:rPr>
                <w:t>mary.carey@pwc.lu</w:t>
              </w:r>
            </w:hyperlink>
            <w:r w:rsidRPr="0A8C1D82">
              <w:rPr>
                <w:rFonts w:ascii="Georgia" w:eastAsia="Georgia" w:hAnsi="Georgia" w:cs="Georgia"/>
                <w:color w:val="0000FF"/>
                <w:sz w:val="20"/>
                <w:szCs w:val="20"/>
                <w:u w:val="single"/>
                <w:lang w:val="en-GB"/>
              </w:rPr>
              <w:t xml:space="preserve">  </w:t>
            </w:r>
          </w:p>
          <w:p w14:paraId="44EAFD9C" w14:textId="77777777" w:rsidR="003F03A1" w:rsidRDefault="003F03A1" w:rsidP="0A8C1D82">
            <w:pPr>
              <w:tabs>
                <w:tab w:val="left" w:pos="1440"/>
              </w:tabs>
              <w:rPr>
                <w:rFonts w:ascii="Georgia" w:eastAsia="Georgia" w:hAnsi="Georgia" w:cs="Georgia"/>
                <w:sz w:val="20"/>
                <w:szCs w:val="20"/>
                <w:lang w:val="en-GB"/>
              </w:rPr>
            </w:pPr>
          </w:p>
          <w:p w14:paraId="5E3C487B" w14:textId="77777777" w:rsidR="003F03A1" w:rsidRDefault="00742B55" w:rsidP="0A8C1D82">
            <w:pPr>
              <w:rPr>
                <w:rFonts w:ascii="Georgia" w:eastAsia="Georgia" w:hAnsi="Georgia" w:cs="Georgia"/>
                <w:color w:val="0000FF"/>
                <w:sz w:val="20"/>
                <w:szCs w:val="20"/>
                <w:u w:val="single"/>
                <w:lang w:val="en-GB"/>
              </w:rPr>
            </w:pPr>
            <w:r w:rsidRPr="0A8C1D82">
              <w:rPr>
                <w:rFonts w:ascii="Georgia" w:eastAsia="Georgia" w:hAnsi="Georgia" w:cs="Georgia"/>
                <w:sz w:val="20"/>
                <w:szCs w:val="20"/>
                <w:lang w:val="en-GB"/>
              </w:rPr>
              <w:t xml:space="preserve">For more details, contact us at </w:t>
            </w:r>
            <w:hyperlink r:id="rId12">
              <w:r w:rsidRPr="0A8C1D82">
                <w:rPr>
                  <w:rFonts w:ascii="Georgia" w:eastAsia="Georgia" w:hAnsi="Georgia" w:cs="Georgia"/>
                  <w:color w:val="1155CC"/>
                  <w:sz w:val="20"/>
                  <w:szCs w:val="20"/>
                  <w:u w:val="single"/>
                  <w:lang w:val="en-GB"/>
                </w:rPr>
                <w:t>lu-press@pwc.lu</w:t>
              </w:r>
            </w:hyperlink>
            <w:r w:rsidRPr="0A8C1D82">
              <w:rPr>
                <w:rFonts w:ascii="Georgia" w:eastAsia="Georgia" w:hAnsi="Georgia" w:cs="Georgia"/>
                <w:sz w:val="20"/>
                <w:szCs w:val="20"/>
                <w:lang w:val="en-GB"/>
              </w:rPr>
              <w:t xml:space="preserve">  </w:t>
            </w:r>
          </w:p>
          <w:p w14:paraId="4B94D5A5" w14:textId="77777777" w:rsidR="003F03A1" w:rsidRDefault="003F03A1" w:rsidP="0A8C1D82">
            <w:pPr>
              <w:rPr>
                <w:rFonts w:ascii="Georgia" w:eastAsia="Georgia" w:hAnsi="Georgia" w:cs="Georgia"/>
                <w:sz w:val="20"/>
                <w:szCs w:val="20"/>
                <w:lang w:val="en-GB"/>
              </w:rPr>
            </w:pPr>
          </w:p>
          <w:p w14:paraId="5392162B" w14:textId="77777777" w:rsidR="003F03A1" w:rsidRDefault="00742B55" w:rsidP="0A8C1D82">
            <w:pPr>
              <w:tabs>
                <w:tab w:val="left" w:pos="1440"/>
              </w:tabs>
              <w:rPr>
                <w:rFonts w:ascii="Georgia" w:eastAsia="Georgia" w:hAnsi="Georgia" w:cs="Georgia"/>
                <w:sz w:val="20"/>
                <w:szCs w:val="20"/>
                <w:lang w:val="en-GB"/>
              </w:rPr>
            </w:pPr>
            <w:r w:rsidRPr="0A8C1D82">
              <w:rPr>
                <w:rFonts w:ascii="Georgia" w:eastAsia="Georgia" w:hAnsi="Georgia" w:cs="Georgia"/>
                <w:sz w:val="20"/>
                <w:szCs w:val="20"/>
                <w:lang w:val="en-GB"/>
              </w:rPr>
              <w:t xml:space="preserve">Follow us on LinkedIn: </w:t>
            </w:r>
            <w:hyperlink r:id="rId13">
              <w:r w:rsidRPr="0A8C1D82">
                <w:rPr>
                  <w:rFonts w:ascii="Georgia" w:eastAsia="Georgia" w:hAnsi="Georgia" w:cs="Georgia"/>
                  <w:color w:val="0000FF"/>
                  <w:sz w:val="20"/>
                  <w:szCs w:val="20"/>
                  <w:u w:val="single"/>
                  <w:lang w:val="en-GB"/>
                </w:rPr>
                <w:t>www.linkedin.com/company/pwc-luxembourg</w:t>
              </w:r>
            </w:hyperlink>
          </w:p>
          <w:p w14:paraId="3DEEC669" w14:textId="77777777" w:rsidR="003F03A1" w:rsidRDefault="003F03A1" w:rsidP="0A8C1D82">
            <w:pPr>
              <w:tabs>
                <w:tab w:val="left" w:pos="1440"/>
              </w:tabs>
              <w:rPr>
                <w:rFonts w:ascii="Georgia" w:eastAsia="Georgia" w:hAnsi="Georgia" w:cs="Georgia"/>
                <w:sz w:val="20"/>
                <w:szCs w:val="20"/>
                <w:lang w:val="en-GB"/>
              </w:rPr>
            </w:pPr>
          </w:p>
          <w:p w14:paraId="31128A12" w14:textId="343302EA" w:rsidR="00D37162" w:rsidRPr="00271DF2" w:rsidRDefault="00D37162" w:rsidP="0A8C1D82">
            <w:pPr>
              <w:tabs>
                <w:tab w:val="left" w:pos="1440"/>
              </w:tabs>
              <w:rPr>
                <w:rFonts w:ascii="Georgia" w:eastAsia="Georgia" w:hAnsi="Georgia" w:cs="Georgia"/>
                <w:sz w:val="20"/>
                <w:szCs w:val="20"/>
                <w:lang w:val="de-CH"/>
              </w:rPr>
            </w:pPr>
            <w:r w:rsidRPr="00271DF2">
              <w:rPr>
                <w:rFonts w:ascii="Georgia" w:eastAsia="Georgia" w:hAnsi="Georgia" w:cs="Georgia"/>
                <w:sz w:val="20"/>
                <w:szCs w:val="20"/>
                <w:lang w:val="de-CH"/>
              </w:rPr>
              <w:t>ABBL</w:t>
            </w:r>
          </w:p>
          <w:p w14:paraId="0C5CDDD0" w14:textId="77777777" w:rsidR="00D37162" w:rsidRPr="00271DF2" w:rsidRDefault="00D37162" w:rsidP="0A8C1D82">
            <w:pPr>
              <w:tabs>
                <w:tab w:val="left" w:pos="1440"/>
              </w:tabs>
              <w:rPr>
                <w:rFonts w:ascii="Georgia" w:eastAsia="Georgia" w:hAnsi="Georgia" w:cs="Georgia"/>
                <w:sz w:val="20"/>
                <w:szCs w:val="20"/>
                <w:lang w:val="de-CH"/>
              </w:rPr>
            </w:pPr>
          </w:p>
          <w:p w14:paraId="263BC183" w14:textId="5A5BA727" w:rsidR="00D37162" w:rsidRPr="00271DF2" w:rsidRDefault="00D37162" w:rsidP="0A8C1D82">
            <w:pPr>
              <w:tabs>
                <w:tab w:val="left" w:pos="1440"/>
              </w:tabs>
              <w:rPr>
                <w:rFonts w:ascii="Georgia" w:eastAsia="Georgia" w:hAnsi="Georgia" w:cs="Georgia"/>
                <w:sz w:val="20"/>
                <w:szCs w:val="20"/>
                <w:lang w:val="de-CH"/>
              </w:rPr>
            </w:pPr>
            <w:r w:rsidRPr="00271DF2">
              <w:rPr>
                <w:rFonts w:ascii="Georgia" w:eastAsia="Georgia" w:hAnsi="Georgia" w:cs="Georgia"/>
                <w:sz w:val="20"/>
                <w:szCs w:val="20"/>
                <w:lang w:val="de-CH"/>
              </w:rPr>
              <w:t xml:space="preserve">Paul </w:t>
            </w:r>
            <w:r w:rsidR="00050EC9" w:rsidRPr="00271DF2">
              <w:rPr>
                <w:rFonts w:ascii="Georgia" w:eastAsia="Georgia" w:hAnsi="Georgia" w:cs="Georgia"/>
                <w:sz w:val="20"/>
                <w:szCs w:val="20"/>
                <w:lang w:val="de-CH"/>
              </w:rPr>
              <w:t>Wildert</w:t>
            </w:r>
          </w:p>
          <w:p w14:paraId="1DC38065" w14:textId="7E9BBD1E" w:rsidR="00D37162" w:rsidRPr="00271DF2" w:rsidRDefault="00D37162" w:rsidP="0A8C1D82">
            <w:pPr>
              <w:tabs>
                <w:tab w:val="left" w:pos="1440"/>
              </w:tabs>
              <w:rPr>
                <w:rFonts w:ascii="Georgia" w:eastAsia="Georgia" w:hAnsi="Georgia" w:cs="Georgia"/>
                <w:sz w:val="20"/>
                <w:szCs w:val="20"/>
                <w:lang w:val="de-CH"/>
              </w:rPr>
            </w:pPr>
            <w:r w:rsidRPr="00271DF2">
              <w:rPr>
                <w:rFonts w:ascii="Georgia" w:eastAsia="Georgia" w:hAnsi="Georgia" w:cs="Georgia"/>
                <w:sz w:val="20"/>
                <w:szCs w:val="20"/>
                <w:lang w:val="de-CH"/>
              </w:rPr>
              <w:t>+(352) 621 161 628</w:t>
            </w:r>
          </w:p>
          <w:p w14:paraId="0E72DC6A" w14:textId="1622C149" w:rsidR="00D37162" w:rsidRPr="00502FA1" w:rsidRDefault="00D37162" w:rsidP="0A8C1D82">
            <w:pPr>
              <w:tabs>
                <w:tab w:val="left" w:pos="1440"/>
              </w:tabs>
              <w:rPr>
                <w:rFonts w:ascii="Georgia" w:eastAsia="Georgia" w:hAnsi="Georgia" w:cs="Georgia"/>
                <w:sz w:val="20"/>
                <w:szCs w:val="20"/>
                <w:lang w:val="de-CH"/>
              </w:rPr>
            </w:pPr>
            <w:hyperlink r:id="rId14" w:history="1">
              <w:r w:rsidRPr="00502FA1">
                <w:rPr>
                  <w:rStyle w:val="Hyperlink"/>
                  <w:rFonts w:ascii="Georgia" w:eastAsia="Georgia" w:hAnsi="Georgia" w:cs="Georgia"/>
                  <w:sz w:val="20"/>
                  <w:szCs w:val="20"/>
                  <w:lang w:val="de-CH"/>
                </w:rPr>
                <w:t>paul.wilwertz@abbl.lu</w:t>
              </w:r>
            </w:hyperlink>
          </w:p>
          <w:p w14:paraId="0DF2A500" w14:textId="77777777" w:rsidR="00D37162" w:rsidRPr="00502FA1" w:rsidRDefault="00D37162" w:rsidP="0A8C1D82">
            <w:pPr>
              <w:tabs>
                <w:tab w:val="left" w:pos="1440"/>
              </w:tabs>
              <w:rPr>
                <w:rFonts w:ascii="Georgia" w:eastAsia="Georgia" w:hAnsi="Georgia" w:cs="Georgia"/>
                <w:sz w:val="20"/>
                <w:szCs w:val="20"/>
                <w:lang w:val="de-CH"/>
              </w:rPr>
            </w:pPr>
          </w:p>
          <w:p w14:paraId="04D087F5" w14:textId="519602C3" w:rsidR="00D37162" w:rsidRDefault="00D37162" w:rsidP="0A8C1D82">
            <w:pPr>
              <w:tabs>
                <w:tab w:val="left" w:pos="1440"/>
              </w:tabs>
              <w:rPr>
                <w:rFonts w:ascii="Georgia" w:eastAsia="Georgia" w:hAnsi="Georgia" w:cs="Georgia"/>
                <w:sz w:val="20"/>
                <w:szCs w:val="20"/>
                <w:lang w:val="en-GB"/>
              </w:rPr>
            </w:pPr>
            <w:r w:rsidRPr="0A8C1D82">
              <w:rPr>
                <w:rFonts w:ascii="Georgia" w:eastAsia="Georgia" w:hAnsi="Georgia" w:cs="Georgia"/>
                <w:sz w:val="20"/>
                <w:szCs w:val="20"/>
                <w:lang w:val="en-GB"/>
              </w:rPr>
              <w:t>For more details, contact us at</w:t>
            </w:r>
            <w:r>
              <w:rPr>
                <w:rFonts w:ascii="Georgia" w:eastAsia="Georgia" w:hAnsi="Georgia" w:cs="Georgia"/>
                <w:sz w:val="20"/>
                <w:szCs w:val="20"/>
                <w:lang w:val="en-GB"/>
              </w:rPr>
              <w:t xml:space="preserve"> </w:t>
            </w:r>
            <w:hyperlink r:id="rId15" w:history="1">
              <w:r w:rsidRPr="00B14FDE">
                <w:rPr>
                  <w:rStyle w:val="Hyperlink"/>
                  <w:rFonts w:ascii="Georgia" w:eastAsia="Georgia" w:hAnsi="Georgia" w:cs="Georgia"/>
                  <w:sz w:val="20"/>
                  <w:szCs w:val="20"/>
                  <w:lang w:val="en-GB"/>
                </w:rPr>
                <w:t>communication@abbl.lu</w:t>
              </w:r>
            </w:hyperlink>
          </w:p>
          <w:p w14:paraId="5130150E" w14:textId="77777777" w:rsidR="00D37162" w:rsidRDefault="00D37162" w:rsidP="0A8C1D82">
            <w:pPr>
              <w:tabs>
                <w:tab w:val="left" w:pos="1440"/>
              </w:tabs>
              <w:rPr>
                <w:rFonts w:ascii="Georgia" w:eastAsia="Georgia" w:hAnsi="Georgia" w:cs="Georgia"/>
                <w:sz w:val="20"/>
                <w:szCs w:val="20"/>
                <w:lang w:val="en-GB"/>
              </w:rPr>
            </w:pPr>
          </w:p>
          <w:p w14:paraId="014D2120" w14:textId="64ADC7F4" w:rsidR="00D37162" w:rsidRDefault="00D37162" w:rsidP="0A8C1D82">
            <w:pPr>
              <w:tabs>
                <w:tab w:val="left" w:pos="1440"/>
              </w:tabs>
              <w:rPr>
                <w:rFonts w:ascii="Georgia" w:eastAsia="Georgia" w:hAnsi="Georgia" w:cs="Georgia"/>
                <w:sz w:val="20"/>
                <w:szCs w:val="20"/>
                <w:lang w:val="en-GB"/>
              </w:rPr>
            </w:pPr>
            <w:r w:rsidRPr="5857E542">
              <w:rPr>
                <w:rFonts w:ascii="Georgia" w:eastAsia="Georgia" w:hAnsi="Georgia" w:cs="Georgia"/>
                <w:sz w:val="20"/>
                <w:szCs w:val="20"/>
                <w:lang w:val="en-GB"/>
              </w:rPr>
              <w:t>Follow us on LinkedIn:</w:t>
            </w:r>
            <w:r>
              <w:t xml:space="preserve"> </w:t>
            </w:r>
            <w:hyperlink r:id="rId16">
              <w:r w:rsidRPr="5857E542">
                <w:rPr>
                  <w:rStyle w:val="Hyperlink"/>
                  <w:rFonts w:ascii="Georgia" w:eastAsia="Georgia" w:hAnsi="Georgia" w:cs="Georgia"/>
                  <w:sz w:val="20"/>
                  <w:szCs w:val="20"/>
                  <w:lang w:val="en-GB"/>
                </w:rPr>
                <w:t>www.linkedin.com/company/abbl</w:t>
              </w:r>
            </w:hyperlink>
          </w:p>
          <w:p w14:paraId="4AA4E482" w14:textId="4E24CAA7" w:rsidR="003F03A1" w:rsidRDefault="003F03A1" w:rsidP="0A8C1D82">
            <w:pPr>
              <w:tabs>
                <w:tab w:val="left" w:pos="1440"/>
              </w:tabs>
              <w:rPr>
                <w:rFonts w:ascii="Georgia" w:eastAsia="Georgia" w:hAnsi="Georgia" w:cs="Georgia"/>
                <w:sz w:val="20"/>
                <w:szCs w:val="20"/>
                <w:lang w:val="en-GB"/>
              </w:rPr>
            </w:pPr>
          </w:p>
          <w:p w14:paraId="3891630B" w14:textId="77777777" w:rsidR="003F03A1" w:rsidRDefault="00742B55" w:rsidP="0A8C1D82">
            <w:pPr>
              <w:tabs>
                <w:tab w:val="left" w:pos="1440"/>
              </w:tabs>
              <w:rPr>
                <w:rFonts w:ascii="Georgia" w:eastAsia="Georgia" w:hAnsi="Georgia" w:cs="Georgia"/>
                <w:color w:val="000000"/>
                <w:sz w:val="20"/>
                <w:szCs w:val="20"/>
                <w:lang w:val="en-GB"/>
              </w:rPr>
            </w:pPr>
            <w:r w:rsidRPr="0A8C1D82">
              <w:rPr>
                <w:rFonts w:ascii="Georgia" w:eastAsia="Georgia" w:hAnsi="Georgia" w:cs="Georgia"/>
                <w:sz w:val="20"/>
                <w:szCs w:val="20"/>
                <w:lang w:val="en-GB"/>
              </w:rPr>
              <w:t xml:space="preserve">       </w:t>
            </w:r>
          </w:p>
        </w:tc>
      </w:tr>
      <w:tr w:rsidR="003F03A1" w14:paraId="23CEF153" w14:textId="77777777" w:rsidTr="5857E542">
        <w:trPr>
          <w:trHeight w:val="60"/>
        </w:trPr>
        <w:tc>
          <w:tcPr>
            <w:tcW w:w="2025" w:type="dxa"/>
          </w:tcPr>
          <w:p w14:paraId="6A6D031D" w14:textId="77777777" w:rsidR="003F03A1" w:rsidRDefault="00742B55" w:rsidP="0A8C1D82">
            <w:pPr>
              <w:rPr>
                <w:rFonts w:ascii="Georgia" w:eastAsia="Georgia" w:hAnsi="Georgia" w:cs="Georgia"/>
                <w:i/>
                <w:iCs/>
                <w:sz w:val="20"/>
                <w:szCs w:val="20"/>
                <w:lang w:val="en-GB"/>
              </w:rPr>
            </w:pPr>
            <w:r w:rsidRPr="0A8C1D82">
              <w:rPr>
                <w:rFonts w:ascii="Georgia" w:eastAsia="Georgia" w:hAnsi="Georgia" w:cs="Georgia"/>
                <w:i/>
                <w:iCs/>
                <w:sz w:val="20"/>
                <w:szCs w:val="20"/>
                <w:lang w:val="en-GB"/>
              </w:rPr>
              <w:t xml:space="preserve">Pages </w:t>
            </w:r>
          </w:p>
        </w:tc>
        <w:tc>
          <w:tcPr>
            <w:tcW w:w="6885" w:type="dxa"/>
          </w:tcPr>
          <w:p w14:paraId="3656B9AB" w14:textId="2CC8B6A2" w:rsidR="003F03A1" w:rsidRDefault="26341ECB" w:rsidP="00502FA1">
            <w:pPr>
              <w:spacing w:line="259" w:lineRule="auto"/>
              <w:rPr>
                <w:rFonts w:ascii="Georgia" w:eastAsia="Georgia" w:hAnsi="Georgia" w:cs="Georgia"/>
                <w:sz w:val="20"/>
                <w:szCs w:val="20"/>
                <w:lang w:val="en-GB"/>
              </w:rPr>
            </w:pPr>
            <w:r w:rsidRPr="5857E542">
              <w:rPr>
                <w:rFonts w:ascii="Georgia" w:eastAsia="Georgia" w:hAnsi="Georgia" w:cs="Georgia"/>
                <w:sz w:val="20"/>
                <w:szCs w:val="20"/>
                <w:highlight w:val="yellow"/>
                <w:lang w:val="en-GB"/>
              </w:rPr>
              <w:t>5</w:t>
            </w:r>
            <w:r w:rsidR="00271DF2">
              <w:rPr>
                <w:rFonts w:ascii="Georgia" w:eastAsia="Georgia" w:hAnsi="Georgia" w:cs="Georgia"/>
                <w:sz w:val="20"/>
                <w:szCs w:val="20"/>
                <w:highlight w:val="yellow"/>
                <w:lang w:val="en-GB"/>
              </w:rPr>
              <w:t xml:space="preserve"> </w:t>
            </w:r>
          </w:p>
        </w:tc>
      </w:tr>
    </w:tbl>
    <w:p w14:paraId="45FB0818" w14:textId="77777777" w:rsidR="003F03A1" w:rsidRDefault="003F03A1" w:rsidP="0A8C1D82">
      <w:pPr>
        <w:pBdr>
          <w:top w:val="single" w:sz="8" w:space="1" w:color="DC6900"/>
        </w:pBdr>
        <w:tabs>
          <w:tab w:val="left" w:pos="1394"/>
        </w:tabs>
        <w:rPr>
          <w:rFonts w:ascii="Georgia" w:eastAsia="Georgia" w:hAnsi="Georgia" w:cs="Georgia"/>
          <w:b/>
          <w:bCs/>
          <w:i/>
          <w:iCs/>
          <w:color w:val="000000"/>
          <w:lang w:val="en-GB"/>
        </w:rPr>
      </w:pPr>
    </w:p>
    <w:p w14:paraId="5FDF8B10" w14:textId="324E2A73" w:rsidR="003F03A1" w:rsidRDefault="00F529C1" w:rsidP="5857E542">
      <w:pPr>
        <w:pBdr>
          <w:top w:val="nil"/>
          <w:left w:val="nil"/>
          <w:bottom w:val="nil"/>
          <w:right w:val="nil"/>
          <w:between w:val="nil"/>
        </w:pBdr>
        <w:jc w:val="center"/>
        <w:rPr>
          <w:rFonts w:ascii="Georgia" w:eastAsia="Georgia" w:hAnsi="Georgia" w:cs="Georgia"/>
          <w:b/>
          <w:bCs/>
          <w:i/>
          <w:iCs/>
          <w:sz w:val="22"/>
          <w:szCs w:val="22"/>
          <w:lang w:val="en-GB"/>
        </w:rPr>
      </w:pPr>
      <w:r w:rsidRPr="5857E542">
        <w:rPr>
          <w:rFonts w:ascii="Georgia" w:eastAsia="Georgia" w:hAnsi="Georgia" w:cs="Georgia"/>
          <w:b/>
          <w:bCs/>
          <w:i/>
          <w:iCs/>
          <w:lang w:val="en-GB"/>
        </w:rPr>
        <w:t>Corporate &amp; Institutional Banking Survey 2025</w:t>
      </w:r>
      <w:r w:rsidR="33D32BD2" w:rsidRPr="5857E542">
        <w:rPr>
          <w:rFonts w:ascii="Georgia" w:eastAsia="Georgia" w:hAnsi="Georgia" w:cs="Georgia"/>
          <w:b/>
          <w:bCs/>
          <w:i/>
          <w:iCs/>
          <w:lang w:val="en-GB"/>
        </w:rPr>
        <w:t xml:space="preserve"> - </w:t>
      </w:r>
      <w:r>
        <w:br/>
      </w:r>
      <w:r w:rsidRPr="5857E542">
        <w:rPr>
          <w:rFonts w:ascii="Georgia" w:eastAsia="Georgia" w:hAnsi="Georgia" w:cs="Georgia"/>
          <w:b/>
          <w:bCs/>
          <w:i/>
          <w:iCs/>
          <w:sz w:val="22"/>
          <w:szCs w:val="22"/>
          <w:lang w:val="en-GB"/>
        </w:rPr>
        <w:t xml:space="preserve">Cementing </w:t>
      </w:r>
      <w:r w:rsidRPr="5857E542">
        <w:rPr>
          <w:rFonts w:ascii="Georgia" w:eastAsia="Georgia" w:hAnsi="Georgia" w:cs="Georgia"/>
          <w:b/>
          <w:bCs/>
          <w:i/>
          <w:iCs/>
          <w:lang w:val="en-GB"/>
        </w:rPr>
        <w:t>L</w:t>
      </w:r>
      <w:r w:rsidRPr="5857E542">
        <w:rPr>
          <w:rFonts w:ascii="Georgia" w:eastAsia="Georgia" w:hAnsi="Georgia" w:cs="Georgia"/>
          <w:b/>
          <w:bCs/>
          <w:i/>
          <w:iCs/>
          <w:sz w:val="22"/>
          <w:szCs w:val="22"/>
          <w:lang w:val="en-GB"/>
        </w:rPr>
        <w:t>uxembourg’s strategic positioning</w:t>
      </w:r>
      <w:r w:rsidR="00D37162" w:rsidRPr="5857E542">
        <w:rPr>
          <w:rFonts w:ascii="Georgia" w:eastAsia="Georgia" w:hAnsi="Georgia" w:cs="Georgia"/>
          <w:b/>
          <w:bCs/>
          <w:i/>
          <w:iCs/>
          <w:sz w:val="22"/>
          <w:szCs w:val="22"/>
          <w:lang w:val="en-GB"/>
        </w:rPr>
        <w:t xml:space="preserve"> for Europe’s financial future</w:t>
      </w:r>
    </w:p>
    <w:p w14:paraId="6014F3F0" w14:textId="587CA4D7" w:rsidR="003F03A1" w:rsidRDefault="389CBC35" w:rsidP="7CDD4F9C">
      <w:pPr>
        <w:pStyle w:val="ListParagraph"/>
        <w:numPr>
          <w:ilvl w:val="0"/>
          <w:numId w:val="2"/>
        </w:numPr>
        <w:pBdr>
          <w:top w:val="nil"/>
          <w:left w:val="nil"/>
          <w:bottom w:val="nil"/>
          <w:right w:val="nil"/>
          <w:between w:val="nil"/>
        </w:pBdr>
        <w:jc w:val="center"/>
        <w:rPr>
          <w:rFonts w:ascii="Georgia" w:eastAsia="Georgia" w:hAnsi="Georgia" w:cs="Georgia"/>
          <w:i/>
          <w:iCs/>
          <w:sz w:val="22"/>
          <w:szCs w:val="22"/>
          <w:lang w:val="en-GB"/>
        </w:rPr>
      </w:pPr>
      <w:r w:rsidRPr="7CDD4F9C">
        <w:rPr>
          <w:rFonts w:ascii="Georgia" w:eastAsia="Georgia" w:hAnsi="Georgia" w:cs="Georgia"/>
          <w:i/>
          <w:iCs/>
          <w:sz w:val="22"/>
          <w:szCs w:val="22"/>
          <w:lang w:val="en-GB"/>
        </w:rPr>
        <w:t>Luxembourg's</w:t>
      </w:r>
      <w:r w:rsidR="2012384D" w:rsidRPr="7CDD4F9C">
        <w:rPr>
          <w:rFonts w:ascii="Georgia" w:eastAsia="Georgia" w:hAnsi="Georgia" w:cs="Georgia"/>
          <w:i/>
          <w:iCs/>
          <w:sz w:val="22"/>
          <w:szCs w:val="22"/>
          <w:lang w:val="en-GB"/>
        </w:rPr>
        <w:t xml:space="preserve"> Corporate Banking Sector </w:t>
      </w:r>
      <w:r w:rsidR="00D37162" w:rsidRPr="7CDD4F9C">
        <w:rPr>
          <w:rFonts w:ascii="Georgia" w:eastAsia="Georgia" w:hAnsi="Georgia" w:cs="Georgia"/>
          <w:i/>
          <w:iCs/>
          <w:sz w:val="22"/>
          <w:szCs w:val="22"/>
          <w:lang w:val="en-GB"/>
        </w:rPr>
        <w:t xml:space="preserve">experienced robust growth </w:t>
      </w:r>
      <w:r w:rsidR="2012384D" w:rsidRPr="7CDD4F9C">
        <w:rPr>
          <w:rFonts w:ascii="Georgia" w:eastAsia="Georgia" w:hAnsi="Georgia" w:cs="Georgia"/>
          <w:i/>
          <w:iCs/>
          <w:sz w:val="22"/>
          <w:szCs w:val="22"/>
          <w:lang w:val="en-GB"/>
        </w:rPr>
        <w:t xml:space="preserve">in 2024 </w:t>
      </w:r>
    </w:p>
    <w:p w14:paraId="62486C05" w14:textId="67FD1777" w:rsidR="003F03A1" w:rsidRDefault="003F03A1" w:rsidP="5857E542">
      <w:pPr>
        <w:pBdr>
          <w:top w:val="nil"/>
          <w:left w:val="nil"/>
          <w:bottom w:val="nil"/>
          <w:right w:val="nil"/>
          <w:between w:val="nil"/>
        </w:pBdr>
        <w:ind w:left="720"/>
        <w:jc w:val="center"/>
        <w:rPr>
          <w:rFonts w:ascii="Georgia" w:eastAsia="Georgia" w:hAnsi="Georgia" w:cs="Georgia"/>
          <w:i/>
          <w:iCs/>
          <w:sz w:val="22"/>
          <w:szCs w:val="22"/>
          <w:lang w:val="en-GB"/>
        </w:rPr>
      </w:pPr>
      <w:bookmarkStart w:id="0" w:name="_3znysh7"/>
      <w:bookmarkEnd w:id="0"/>
    </w:p>
    <w:p w14:paraId="4101652C" w14:textId="77777777" w:rsidR="003F03A1" w:rsidRDefault="003F03A1" w:rsidP="0A8C1D82">
      <w:pPr>
        <w:rPr>
          <w:sz w:val="20"/>
          <w:szCs w:val="20"/>
          <w:highlight w:val="yellow"/>
          <w:lang w:val="en-GB"/>
        </w:rPr>
      </w:pPr>
    </w:p>
    <w:p w14:paraId="353DA2DF" w14:textId="0FBCB1EC" w:rsidR="00742B55" w:rsidRDefault="00742B55" w:rsidP="0A8C1D82">
      <w:pPr>
        <w:rPr>
          <w:rFonts w:ascii="Georgia" w:eastAsia="Georgia" w:hAnsi="Georgia" w:cs="Georgia"/>
          <w:b/>
          <w:bCs/>
          <w:sz w:val="20"/>
          <w:szCs w:val="20"/>
          <w:highlight w:val="yellow"/>
          <w:lang w:val="en-GB"/>
        </w:rPr>
      </w:pPr>
      <w:r w:rsidRPr="0A8C1D82">
        <w:rPr>
          <w:rFonts w:ascii="Georgia" w:eastAsia="Georgia" w:hAnsi="Georgia" w:cs="Georgia"/>
          <w:b/>
          <w:bCs/>
          <w:sz w:val="20"/>
          <w:szCs w:val="20"/>
          <w:lang w:val="en-GB"/>
        </w:rPr>
        <w:t xml:space="preserve">Press Release, Luxembourg, </w:t>
      </w:r>
      <w:r w:rsidR="460E0332" w:rsidRPr="0A8C1D82">
        <w:rPr>
          <w:rFonts w:ascii="Georgia" w:eastAsia="Georgia" w:hAnsi="Georgia" w:cs="Georgia"/>
          <w:b/>
          <w:bCs/>
          <w:sz w:val="20"/>
          <w:szCs w:val="20"/>
          <w:highlight w:val="yellow"/>
          <w:lang w:val="en-GB"/>
        </w:rPr>
        <w:t>10 December 2</w:t>
      </w:r>
      <w:r w:rsidR="7D577186" w:rsidRPr="0A8C1D82">
        <w:rPr>
          <w:rFonts w:ascii="Georgia" w:eastAsia="Georgia" w:hAnsi="Georgia" w:cs="Georgia"/>
          <w:b/>
          <w:bCs/>
          <w:sz w:val="20"/>
          <w:szCs w:val="20"/>
          <w:highlight w:val="yellow"/>
          <w:lang w:val="en-GB"/>
        </w:rPr>
        <w:t xml:space="preserve">025 </w:t>
      </w:r>
    </w:p>
    <w:p w14:paraId="6CEBD738" w14:textId="28CA124F" w:rsidR="00742B55" w:rsidRDefault="00742B55" w:rsidP="0A8C1D82">
      <w:pPr>
        <w:rPr>
          <w:rFonts w:ascii="Georgia" w:eastAsia="Georgia" w:hAnsi="Georgia" w:cs="Georgia"/>
          <w:b/>
          <w:bCs/>
          <w:sz w:val="20"/>
          <w:szCs w:val="20"/>
          <w:lang w:val="en-GB"/>
        </w:rPr>
      </w:pPr>
    </w:p>
    <w:p w14:paraId="1848D3C3" w14:textId="2DB03BF4" w:rsidR="00742B55" w:rsidRDefault="00F50759" w:rsidP="00F50759">
      <w:pPr>
        <w:rPr>
          <w:rFonts w:ascii="Georgia" w:eastAsia="Georgia" w:hAnsi="Georgia" w:cs="Georgia"/>
          <w:b/>
          <w:bCs/>
          <w:sz w:val="20"/>
          <w:szCs w:val="20"/>
          <w:lang w:val="en-GB"/>
        </w:rPr>
      </w:pPr>
      <w:r w:rsidRPr="5857E542">
        <w:rPr>
          <w:rFonts w:ascii="Georgia" w:eastAsia="Georgia" w:hAnsi="Georgia" w:cs="Georgia"/>
          <w:b/>
          <w:bCs/>
          <w:sz w:val="20"/>
          <w:szCs w:val="20"/>
          <w:lang w:val="en-GB"/>
        </w:rPr>
        <w:t>Corporate and institutional banking in Luxembourg recorded solid results in 2024, with sector revenues reaching €6.5 bn and net profits amounting to €2.8 bn.</w:t>
      </w:r>
      <w:r w:rsidR="1D2282D3" w:rsidRPr="5857E542">
        <w:rPr>
          <w:rFonts w:ascii="Georgia" w:eastAsia="Georgia" w:hAnsi="Georgia" w:cs="Georgia"/>
          <w:b/>
          <w:bCs/>
          <w:sz w:val="20"/>
          <w:szCs w:val="20"/>
          <w:lang w:val="en-GB"/>
        </w:rPr>
        <w:t xml:space="preserve"> These </w:t>
      </w:r>
      <w:r w:rsidR="004D32D8">
        <w:rPr>
          <w:rFonts w:ascii="Georgia" w:eastAsia="Georgia" w:hAnsi="Georgia" w:cs="Georgia"/>
          <w:b/>
          <w:bCs/>
          <w:sz w:val="20"/>
          <w:szCs w:val="20"/>
          <w:lang w:val="en-GB"/>
        </w:rPr>
        <w:t>results</w:t>
      </w:r>
      <w:r w:rsidR="1D2282D3" w:rsidRPr="5857E542">
        <w:rPr>
          <w:rFonts w:ascii="Georgia" w:eastAsia="Georgia" w:hAnsi="Georgia" w:cs="Georgia"/>
          <w:b/>
          <w:bCs/>
          <w:sz w:val="20"/>
          <w:szCs w:val="20"/>
          <w:lang w:val="en-GB"/>
        </w:rPr>
        <w:t xml:space="preserve">, detailed in the newly released </w:t>
      </w:r>
      <w:hyperlink r:id="rId17">
        <w:r w:rsidR="1D2282D3" w:rsidRPr="5857E542">
          <w:rPr>
            <w:rStyle w:val="Hyperlink"/>
            <w:rFonts w:ascii="Georgia" w:eastAsia="Georgia" w:hAnsi="Georgia" w:cs="Georgia"/>
            <w:b/>
            <w:bCs/>
            <w:sz w:val="20"/>
            <w:szCs w:val="20"/>
            <w:lang w:val="en-GB"/>
          </w:rPr>
          <w:t>Corporate &amp; Institutional Banking Survey 2025</w:t>
        </w:r>
      </w:hyperlink>
      <w:r w:rsidR="1D2282D3" w:rsidRPr="5857E542">
        <w:rPr>
          <w:rFonts w:ascii="Georgia" w:eastAsia="Georgia" w:hAnsi="Georgia" w:cs="Georgia"/>
          <w:b/>
          <w:bCs/>
          <w:sz w:val="20"/>
          <w:szCs w:val="20"/>
          <w:lang w:val="en-GB"/>
        </w:rPr>
        <w:t xml:space="preserve"> by PwC</w:t>
      </w:r>
      <w:r w:rsidR="605C1C6B" w:rsidRPr="5857E542">
        <w:rPr>
          <w:rFonts w:ascii="Georgia" w:eastAsia="Georgia" w:hAnsi="Georgia" w:cs="Georgia"/>
          <w:b/>
          <w:bCs/>
          <w:sz w:val="20"/>
          <w:szCs w:val="20"/>
          <w:lang w:val="en-GB"/>
        </w:rPr>
        <w:t xml:space="preserve"> Luxembourg </w:t>
      </w:r>
      <w:r w:rsidR="1D2282D3" w:rsidRPr="5857E542">
        <w:rPr>
          <w:rFonts w:ascii="Georgia" w:eastAsia="Georgia" w:hAnsi="Georgia" w:cs="Georgia"/>
          <w:b/>
          <w:bCs/>
          <w:sz w:val="20"/>
          <w:szCs w:val="20"/>
          <w:lang w:val="en-GB"/>
        </w:rPr>
        <w:t xml:space="preserve">and </w:t>
      </w:r>
      <w:r w:rsidR="71C3801F" w:rsidRPr="5857E542">
        <w:rPr>
          <w:rFonts w:ascii="Georgia" w:eastAsia="Georgia" w:hAnsi="Georgia" w:cs="Georgia"/>
          <w:b/>
          <w:bCs/>
          <w:sz w:val="20"/>
          <w:szCs w:val="20"/>
          <w:lang w:val="en-GB"/>
        </w:rPr>
        <w:t xml:space="preserve">Association des Banques et </w:t>
      </w:r>
      <w:r w:rsidR="00050EC9" w:rsidRPr="5857E542">
        <w:rPr>
          <w:rFonts w:ascii="Georgia" w:eastAsia="Georgia" w:hAnsi="Georgia" w:cs="Georgia"/>
          <w:b/>
          <w:bCs/>
          <w:sz w:val="20"/>
          <w:szCs w:val="20"/>
          <w:lang w:val="en-GB"/>
        </w:rPr>
        <w:t>Banqueters</w:t>
      </w:r>
      <w:r w:rsidR="71C3801F" w:rsidRPr="5857E542">
        <w:rPr>
          <w:rFonts w:ascii="Georgia" w:eastAsia="Georgia" w:hAnsi="Georgia" w:cs="Georgia"/>
          <w:b/>
          <w:bCs/>
          <w:sz w:val="20"/>
          <w:szCs w:val="20"/>
          <w:lang w:val="en-GB"/>
        </w:rPr>
        <w:t xml:space="preserve"> Luxembourg </w:t>
      </w:r>
      <w:r w:rsidR="464B7DB3" w:rsidRPr="5857E542">
        <w:rPr>
          <w:rFonts w:ascii="Georgia" w:eastAsia="Georgia" w:hAnsi="Georgia" w:cs="Georgia"/>
          <w:b/>
          <w:bCs/>
          <w:sz w:val="20"/>
          <w:szCs w:val="20"/>
          <w:lang w:val="en-GB"/>
        </w:rPr>
        <w:t>(ABBL),</w:t>
      </w:r>
      <w:r w:rsidR="55676AC5" w:rsidRPr="5857E542">
        <w:rPr>
          <w:rFonts w:ascii="Georgia" w:eastAsia="Georgia" w:hAnsi="Georgia" w:cs="Georgia"/>
          <w:b/>
          <w:bCs/>
          <w:sz w:val="20"/>
          <w:szCs w:val="20"/>
          <w:lang w:val="en-GB"/>
        </w:rPr>
        <w:t xml:space="preserve"> </w:t>
      </w:r>
      <w:r w:rsidR="1D2282D3" w:rsidRPr="5857E542">
        <w:rPr>
          <w:rFonts w:ascii="Georgia" w:eastAsia="Georgia" w:hAnsi="Georgia" w:cs="Georgia"/>
          <w:b/>
          <w:bCs/>
          <w:sz w:val="20"/>
          <w:szCs w:val="20"/>
          <w:lang w:val="en-GB"/>
        </w:rPr>
        <w:t>underline the sector’s remarkable resilience</w:t>
      </w:r>
      <w:r w:rsidRPr="5857E542">
        <w:rPr>
          <w:rFonts w:ascii="Georgia" w:eastAsia="Georgia" w:hAnsi="Georgia" w:cs="Georgia"/>
          <w:b/>
          <w:bCs/>
          <w:sz w:val="20"/>
          <w:szCs w:val="20"/>
          <w:lang w:val="en-GB"/>
        </w:rPr>
        <w:t xml:space="preserve"> and positions the sector on a solid footing to help meet the economic challenges facing our continent.</w:t>
      </w:r>
    </w:p>
    <w:p w14:paraId="4EDF3EEB" w14:textId="5442DF2B" w:rsidR="6F43286E" w:rsidRDefault="6F43286E" w:rsidP="0A8C1D82">
      <w:pPr>
        <w:rPr>
          <w:rFonts w:ascii="Georgia" w:eastAsia="Georgia" w:hAnsi="Georgia" w:cs="Georgia"/>
          <w:sz w:val="20"/>
          <w:szCs w:val="20"/>
          <w:lang w:val="en-GB"/>
        </w:rPr>
      </w:pPr>
    </w:p>
    <w:p w14:paraId="368121E5" w14:textId="7CEE14ED" w:rsidR="00F50759" w:rsidRDefault="00F50759" w:rsidP="00F50759">
      <w:pPr>
        <w:rPr>
          <w:rFonts w:ascii="Georgia" w:eastAsia="Georgia" w:hAnsi="Georgia" w:cs="Georgia"/>
          <w:sz w:val="20"/>
          <w:szCs w:val="20"/>
          <w:lang w:val="en-GB"/>
        </w:rPr>
      </w:pPr>
      <w:r w:rsidRPr="5857E542">
        <w:rPr>
          <w:rFonts w:ascii="Georgia" w:eastAsia="Georgia" w:hAnsi="Georgia" w:cs="Georgia"/>
          <w:sz w:val="20"/>
          <w:szCs w:val="20"/>
          <w:lang w:val="en-GB"/>
        </w:rPr>
        <w:t>Luxembourg’s corporate banks play a pivotal role as Europe navigates a decade marked by geopolitical uncertainty, energy insecurity, and climate urgency by supporting international corporates, funds, and institutional clients</w:t>
      </w:r>
      <w:r w:rsidR="515CFD00" w:rsidRPr="5857E542">
        <w:rPr>
          <w:rFonts w:ascii="Georgia" w:eastAsia="Georgia" w:hAnsi="Georgia" w:cs="Georgia"/>
          <w:sz w:val="20"/>
          <w:szCs w:val="20"/>
          <w:lang w:val="en-GB"/>
        </w:rPr>
        <w:t>,</w:t>
      </w:r>
      <w:r w:rsidRPr="5857E542">
        <w:rPr>
          <w:rFonts w:ascii="Georgia" w:eastAsia="Georgia" w:hAnsi="Georgia" w:cs="Georgia"/>
          <w:sz w:val="20"/>
          <w:szCs w:val="20"/>
          <w:lang w:val="en-GB"/>
        </w:rPr>
        <w:t xml:space="preserve"> by facilitating complex cross-border financing</w:t>
      </w:r>
      <w:r w:rsidR="00B45A41" w:rsidRPr="5857E542">
        <w:rPr>
          <w:rFonts w:ascii="Georgia" w:eastAsia="Georgia" w:hAnsi="Georgia" w:cs="Georgia"/>
          <w:sz w:val="20"/>
          <w:szCs w:val="20"/>
          <w:lang w:val="en-GB"/>
        </w:rPr>
        <w:t xml:space="preserve">, </w:t>
      </w:r>
      <w:r w:rsidRPr="5857E542">
        <w:rPr>
          <w:rFonts w:ascii="Georgia" w:eastAsia="Georgia" w:hAnsi="Georgia" w:cs="Georgia"/>
          <w:sz w:val="20"/>
          <w:szCs w:val="20"/>
          <w:lang w:val="en-GB"/>
        </w:rPr>
        <w:t>supporting international investments, diversif</w:t>
      </w:r>
      <w:r w:rsidR="00B45A41" w:rsidRPr="5857E542">
        <w:rPr>
          <w:rFonts w:ascii="Georgia" w:eastAsia="Georgia" w:hAnsi="Georgia" w:cs="Georgia"/>
          <w:sz w:val="20"/>
          <w:szCs w:val="20"/>
          <w:lang w:val="en-GB"/>
        </w:rPr>
        <w:t xml:space="preserve">ying </w:t>
      </w:r>
      <w:r w:rsidRPr="5857E542">
        <w:rPr>
          <w:rFonts w:ascii="Georgia" w:eastAsia="Georgia" w:hAnsi="Georgia" w:cs="Georgia"/>
          <w:sz w:val="20"/>
          <w:szCs w:val="20"/>
          <w:lang w:val="en-GB"/>
        </w:rPr>
        <w:t>lending</w:t>
      </w:r>
      <w:r w:rsidR="00B45A41" w:rsidRPr="5857E542">
        <w:rPr>
          <w:rFonts w:ascii="Georgia" w:eastAsia="Georgia" w:hAnsi="Georgia" w:cs="Georgia"/>
          <w:sz w:val="20"/>
          <w:szCs w:val="20"/>
          <w:lang w:val="en-GB"/>
        </w:rPr>
        <w:t xml:space="preserve"> and </w:t>
      </w:r>
      <w:r w:rsidRPr="5857E542">
        <w:rPr>
          <w:rFonts w:ascii="Georgia" w:eastAsia="Georgia" w:hAnsi="Georgia" w:cs="Georgia"/>
          <w:sz w:val="20"/>
          <w:szCs w:val="20"/>
          <w:lang w:val="en-GB"/>
        </w:rPr>
        <w:t xml:space="preserve">treasury services, and </w:t>
      </w:r>
      <w:r w:rsidR="00B45A41" w:rsidRPr="5857E542">
        <w:rPr>
          <w:rFonts w:ascii="Georgia" w:eastAsia="Georgia" w:hAnsi="Georgia" w:cs="Georgia"/>
          <w:sz w:val="20"/>
          <w:szCs w:val="20"/>
          <w:lang w:val="en-GB"/>
        </w:rPr>
        <w:t xml:space="preserve">providing </w:t>
      </w:r>
      <w:r w:rsidRPr="5857E542">
        <w:rPr>
          <w:rFonts w:ascii="Georgia" w:eastAsia="Georgia" w:hAnsi="Georgia" w:cs="Georgia"/>
          <w:sz w:val="20"/>
          <w:szCs w:val="20"/>
          <w:lang w:val="en-GB"/>
        </w:rPr>
        <w:t xml:space="preserve">sustainable finance solutions. The banks daily </w:t>
      </w:r>
      <w:r w:rsidRPr="5857E542">
        <w:rPr>
          <w:rFonts w:ascii="Georgia" w:eastAsia="Georgia" w:hAnsi="Georgia" w:cs="Georgia"/>
          <w:sz w:val="20"/>
          <w:szCs w:val="20"/>
          <w:lang w:val="en-GB"/>
        </w:rPr>
        <w:lastRenderedPageBreak/>
        <w:t xml:space="preserve">work help finance projects in renewable energy, sustainable infrastructure, and technological innovation, while supporting clients in strengthening supply chains and adapting to new environmental standards. </w:t>
      </w:r>
    </w:p>
    <w:p w14:paraId="2FE87793" w14:textId="12FE1F1E" w:rsidR="00F50759" w:rsidRDefault="00F50759" w:rsidP="00F50759">
      <w:pPr>
        <w:rPr>
          <w:rFonts w:ascii="Georgia" w:eastAsia="Georgia" w:hAnsi="Georgia" w:cs="Georgia"/>
          <w:sz w:val="20"/>
          <w:szCs w:val="20"/>
          <w:lang w:val="en-GB"/>
        </w:rPr>
      </w:pPr>
    </w:p>
    <w:p w14:paraId="25762B35" w14:textId="6F5B319E" w:rsidR="717B859E" w:rsidRDefault="717B859E" w:rsidP="0A8C1D82">
      <w:pPr>
        <w:rPr>
          <w:rFonts w:ascii="Georgia" w:eastAsia="Georgia" w:hAnsi="Georgia" w:cs="Georgia"/>
          <w:sz w:val="20"/>
          <w:szCs w:val="20"/>
          <w:lang w:val="en-GB"/>
        </w:rPr>
      </w:pPr>
      <w:r w:rsidRPr="5857E542">
        <w:rPr>
          <w:rFonts w:ascii="Georgia" w:eastAsia="Georgia" w:hAnsi="Georgia" w:cs="Georgia"/>
          <w:sz w:val="20"/>
          <w:szCs w:val="20"/>
          <w:lang w:val="en-GB"/>
        </w:rPr>
        <w:t xml:space="preserve">ABBL and PwC Luxembourg </w:t>
      </w:r>
      <w:r w:rsidR="00F50759" w:rsidRPr="5857E542">
        <w:rPr>
          <w:rFonts w:ascii="Georgia" w:eastAsia="Georgia" w:hAnsi="Georgia" w:cs="Georgia"/>
          <w:sz w:val="20"/>
          <w:szCs w:val="20"/>
          <w:lang w:val="en-GB"/>
        </w:rPr>
        <w:t>t</w:t>
      </w:r>
      <w:r w:rsidRPr="5857E542">
        <w:rPr>
          <w:rFonts w:ascii="Georgia" w:eastAsia="Georgia" w:hAnsi="Georgia" w:cs="Georgia"/>
          <w:sz w:val="20"/>
          <w:szCs w:val="20"/>
          <w:lang w:val="en-GB"/>
        </w:rPr>
        <w:t>hird edition of the Corporate and Institutional Banking Survey</w:t>
      </w:r>
      <w:r w:rsidR="00F50759" w:rsidRPr="5857E542">
        <w:rPr>
          <w:rFonts w:ascii="Georgia" w:eastAsia="Georgia" w:hAnsi="Georgia" w:cs="Georgia"/>
          <w:sz w:val="20"/>
          <w:szCs w:val="20"/>
          <w:lang w:val="en-GB"/>
        </w:rPr>
        <w:t xml:space="preserve"> </w:t>
      </w:r>
      <w:r w:rsidRPr="5857E542">
        <w:rPr>
          <w:rFonts w:ascii="Georgia" w:eastAsia="Georgia" w:hAnsi="Georgia" w:cs="Georgia"/>
          <w:sz w:val="20"/>
          <w:szCs w:val="20"/>
          <w:lang w:val="en-GB"/>
        </w:rPr>
        <w:t>offers comprehensive insights into a sector that remains a cornerstone of Luxembourg’s financial centre</w:t>
      </w:r>
      <w:r w:rsidR="1E024CE3" w:rsidRPr="5857E542">
        <w:rPr>
          <w:rFonts w:ascii="Georgia" w:eastAsia="Georgia" w:hAnsi="Georgia" w:cs="Georgia"/>
          <w:sz w:val="20"/>
          <w:szCs w:val="20"/>
          <w:lang w:val="en-GB"/>
        </w:rPr>
        <w:t>.</w:t>
      </w:r>
      <w:r w:rsidRPr="5857E542">
        <w:rPr>
          <w:rFonts w:ascii="Georgia" w:eastAsia="Georgia" w:hAnsi="Georgia" w:cs="Georgia"/>
          <w:sz w:val="20"/>
          <w:szCs w:val="20"/>
          <w:lang w:val="en-GB"/>
        </w:rPr>
        <w:t xml:space="preserve"> </w:t>
      </w:r>
    </w:p>
    <w:p w14:paraId="2B8DD982" w14:textId="03D3ABF3" w:rsidR="6F43286E" w:rsidRDefault="6F43286E" w:rsidP="0A8C1D82">
      <w:pPr>
        <w:rPr>
          <w:rFonts w:ascii="Georgia" w:eastAsia="Georgia" w:hAnsi="Georgia" w:cs="Georgia"/>
          <w:sz w:val="20"/>
          <w:szCs w:val="20"/>
          <w:lang w:val="en-GB"/>
        </w:rPr>
      </w:pPr>
    </w:p>
    <w:p w14:paraId="391E1B47" w14:textId="7790F89E" w:rsidR="08058B76" w:rsidRDefault="08058B76" w:rsidP="00F50759">
      <w:pPr>
        <w:rPr>
          <w:rFonts w:ascii="Georgia" w:eastAsia="Georgia" w:hAnsi="Georgia" w:cs="Georgia"/>
          <w:sz w:val="20"/>
          <w:szCs w:val="20"/>
          <w:lang w:val="en-GB"/>
        </w:rPr>
      </w:pPr>
      <w:r w:rsidRPr="7CDD4F9C">
        <w:rPr>
          <w:rFonts w:ascii="Georgia" w:eastAsia="Georgia" w:hAnsi="Georgia" w:cs="Georgia"/>
          <w:sz w:val="20"/>
          <w:szCs w:val="20"/>
          <w:lang w:val="en-GB"/>
        </w:rPr>
        <w:t xml:space="preserve">The Luxembourg corporate banking sector continues to demonstrate remarkable strength and adaptability, solidifying its role at the heart of Europe’s financial landscape. </w:t>
      </w:r>
      <w:r w:rsidR="00B45A41" w:rsidRPr="7CDD4F9C">
        <w:rPr>
          <w:rFonts w:ascii="Georgia" w:eastAsia="Georgia" w:hAnsi="Georgia" w:cs="Georgia"/>
          <w:sz w:val="20"/>
          <w:szCs w:val="20"/>
          <w:lang w:val="en-GB"/>
        </w:rPr>
        <w:t xml:space="preserve">Luxembourg’s banks excel at leveraging the country’s regulatory stability, multilingual expertise, and technological sophistication to deliver </w:t>
      </w:r>
      <w:proofErr w:type="gramStart"/>
      <w:r w:rsidR="00B45A41" w:rsidRPr="7CDD4F9C">
        <w:rPr>
          <w:rFonts w:ascii="Georgia" w:eastAsia="Georgia" w:hAnsi="Georgia" w:cs="Georgia"/>
          <w:sz w:val="20"/>
          <w:szCs w:val="20"/>
          <w:lang w:val="en-GB"/>
        </w:rPr>
        <w:t>reliable</w:t>
      </w:r>
      <w:proofErr w:type="gramEnd"/>
      <w:r w:rsidR="00B45A41" w:rsidRPr="7CDD4F9C">
        <w:rPr>
          <w:rFonts w:ascii="Georgia" w:eastAsia="Georgia" w:hAnsi="Georgia" w:cs="Georgia"/>
          <w:sz w:val="20"/>
          <w:szCs w:val="20"/>
          <w:lang w:val="en-GB"/>
        </w:rPr>
        <w:t xml:space="preserve">, high-value services. </w:t>
      </w:r>
      <w:r w:rsidR="6AB1858B" w:rsidRPr="7CDD4F9C">
        <w:rPr>
          <w:rFonts w:ascii="Georgia" w:eastAsia="Georgia" w:hAnsi="Georgia" w:cs="Georgia"/>
          <w:sz w:val="20"/>
          <w:szCs w:val="20"/>
          <w:lang w:val="en-GB"/>
        </w:rPr>
        <w:t>Its</w:t>
      </w:r>
      <w:r w:rsidRPr="7CDD4F9C">
        <w:rPr>
          <w:rFonts w:ascii="Georgia" w:eastAsia="Georgia" w:hAnsi="Georgia" w:cs="Georgia"/>
          <w:sz w:val="20"/>
          <w:szCs w:val="20"/>
          <w:lang w:val="en-GB"/>
        </w:rPr>
        <w:t xml:space="preserve"> achievements reflect not only the sector’s agility and capacity to transform challenges into opportunities, but also the enduring trust of clients worldwide. </w:t>
      </w:r>
    </w:p>
    <w:p w14:paraId="104C3FE9" w14:textId="4B148DB9" w:rsidR="6F43286E" w:rsidRDefault="6F43286E" w:rsidP="7CDD4F9C">
      <w:pPr>
        <w:rPr>
          <w:rFonts w:ascii="Georgia" w:eastAsia="Georgia" w:hAnsi="Georgia" w:cs="Georgia"/>
          <w:sz w:val="20"/>
          <w:szCs w:val="20"/>
          <w:lang w:val="en-GB"/>
        </w:rPr>
      </w:pPr>
    </w:p>
    <w:p w14:paraId="699F2642" w14:textId="6D54FE81" w:rsidR="08058B76" w:rsidRDefault="08058B76" w:rsidP="0A8C1D82">
      <w:pPr>
        <w:rPr>
          <w:rFonts w:ascii="Georgia" w:eastAsia="Georgia" w:hAnsi="Georgia" w:cs="Georgia"/>
          <w:b/>
          <w:bCs/>
          <w:sz w:val="20"/>
          <w:szCs w:val="20"/>
          <w:lang w:val="en-GB"/>
        </w:rPr>
      </w:pPr>
      <w:r w:rsidRPr="0A8C1D82">
        <w:rPr>
          <w:rFonts w:ascii="Georgia" w:eastAsia="Georgia" w:hAnsi="Georgia" w:cs="Georgia"/>
          <w:b/>
          <w:bCs/>
          <w:sz w:val="20"/>
          <w:szCs w:val="20"/>
          <w:lang w:val="en-GB"/>
        </w:rPr>
        <w:t>Executive summary</w:t>
      </w:r>
    </w:p>
    <w:p w14:paraId="252B5DB2" w14:textId="59C9B91A" w:rsidR="6F43286E" w:rsidRDefault="6F43286E" w:rsidP="5857E542">
      <w:pPr>
        <w:rPr>
          <w:rFonts w:ascii="Georgia" w:eastAsia="Georgia" w:hAnsi="Georgia" w:cs="Georgia"/>
          <w:b/>
          <w:bCs/>
          <w:sz w:val="20"/>
          <w:szCs w:val="20"/>
          <w:highlight w:val="yellow"/>
          <w:lang w:val="en-GB"/>
        </w:rPr>
      </w:pPr>
    </w:p>
    <w:p w14:paraId="24EE672E" w14:textId="044567BD" w:rsidR="4A7BADF6" w:rsidRDefault="4A7BAD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Sustained expansion of corporate banking revenues </w:t>
      </w:r>
    </w:p>
    <w:p w14:paraId="6B11A776" w14:textId="392C70D1" w:rsidR="4A7BADF6" w:rsidRDefault="4A7BADF6" w:rsidP="0A8C1D82">
      <w:pPr>
        <w:pStyle w:val="ListParagraph"/>
        <w:rPr>
          <w:rFonts w:ascii="Georgia" w:eastAsia="Georgia" w:hAnsi="Georgia" w:cs="Georgia"/>
          <w:sz w:val="20"/>
          <w:szCs w:val="20"/>
          <w:lang w:val="en-GB"/>
        </w:rPr>
      </w:pPr>
      <w:r w:rsidRPr="5857E542">
        <w:rPr>
          <w:rFonts w:ascii="Georgia" w:eastAsia="Georgia" w:hAnsi="Georgia" w:cs="Georgia"/>
          <w:sz w:val="20"/>
          <w:szCs w:val="20"/>
          <w:lang w:val="en-GB"/>
        </w:rPr>
        <w:t>Corporate banking revenues experienced robust growth for three years in a row, reaching a new peak of €6.5bn in 2024. This expansion was driven both by higher interest rates and growing demand for financing and treasury services</w:t>
      </w:r>
      <w:r w:rsidR="27F52ED9" w:rsidRPr="5857E542">
        <w:rPr>
          <w:rFonts w:ascii="Georgia" w:eastAsia="Georgia" w:hAnsi="Georgia" w:cs="Georgia"/>
          <w:sz w:val="20"/>
          <w:szCs w:val="20"/>
          <w:lang w:val="en-GB"/>
        </w:rPr>
        <w:t>.</w:t>
      </w:r>
    </w:p>
    <w:p w14:paraId="62224225" w14:textId="7F525B6F" w:rsidR="6F43286E" w:rsidRDefault="6F43286E" w:rsidP="0A8C1D82">
      <w:pPr>
        <w:rPr>
          <w:rFonts w:ascii="Georgia" w:eastAsia="Georgia" w:hAnsi="Georgia" w:cs="Georgia"/>
          <w:sz w:val="20"/>
          <w:szCs w:val="20"/>
          <w:lang w:val="en-GB"/>
        </w:rPr>
      </w:pPr>
    </w:p>
    <w:p w14:paraId="6E2A79DB" w14:textId="3C510D23" w:rsidR="4A7BADF6" w:rsidRDefault="4A7BAD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Interest income gains prominence </w:t>
      </w:r>
    </w:p>
    <w:p w14:paraId="3BD2EA35" w14:textId="5C7CABA9" w:rsidR="4A7BADF6" w:rsidRDefault="4A7BADF6" w:rsidP="0A8C1D82">
      <w:pPr>
        <w:pStyle w:val="ListParagraph"/>
        <w:rPr>
          <w:rFonts w:ascii="Georgia" w:eastAsia="Georgia" w:hAnsi="Georgia" w:cs="Georgia"/>
          <w:sz w:val="20"/>
          <w:szCs w:val="20"/>
          <w:lang w:val="en-GB"/>
        </w:rPr>
      </w:pPr>
      <w:r w:rsidRPr="0A8C1D82">
        <w:rPr>
          <w:rFonts w:ascii="Georgia" w:eastAsia="Georgia" w:hAnsi="Georgia" w:cs="Georgia"/>
          <w:sz w:val="20"/>
          <w:szCs w:val="20"/>
          <w:lang w:val="en-GB"/>
        </w:rPr>
        <w:t xml:space="preserve">Interest-driven earnings have become increasingly significant, with their share rising from 72% in 2022 to 82% in 2024, a direct result of global monetary tightening and inflationary pressures. However, corporate banking players are increasingly aiming to diversify their income streams by shifting towards </w:t>
      </w:r>
      <w:r w:rsidR="67825A3F" w:rsidRPr="0A8C1D82">
        <w:rPr>
          <w:rFonts w:ascii="Georgia" w:eastAsia="Georgia" w:hAnsi="Georgia" w:cs="Georgia"/>
          <w:sz w:val="20"/>
          <w:szCs w:val="20"/>
          <w:lang w:val="en-GB"/>
        </w:rPr>
        <w:t>fee-based</w:t>
      </w:r>
      <w:r w:rsidRPr="0A8C1D82">
        <w:rPr>
          <w:rFonts w:ascii="Georgia" w:eastAsia="Georgia" w:hAnsi="Georgia" w:cs="Georgia"/>
          <w:sz w:val="20"/>
          <w:szCs w:val="20"/>
          <w:lang w:val="en-GB"/>
        </w:rPr>
        <w:t xml:space="preserve"> models.</w:t>
      </w:r>
    </w:p>
    <w:p w14:paraId="051794F9" w14:textId="32D0C0BD" w:rsidR="6F43286E" w:rsidRDefault="6F43286E" w:rsidP="0A8C1D82">
      <w:pPr>
        <w:rPr>
          <w:rFonts w:ascii="Georgia" w:eastAsia="Georgia" w:hAnsi="Georgia" w:cs="Georgia"/>
          <w:b/>
          <w:bCs/>
          <w:sz w:val="20"/>
          <w:szCs w:val="20"/>
          <w:lang w:val="en-GB"/>
        </w:rPr>
      </w:pPr>
    </w:p>
    <w:p w14:paraId="67E91A9C" w14:textId="7A3056F7" w:rsidR="4A7BADF6" w:rsidRDefault="4A7BAD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Treasury services take the lead in revenue generation, followed by syndicated and bilateral loans </w:t>
      </w:r>
    </w:p>
    <w:p w14:paraId="0FA87DE8" w14:textId="666D1715" w:rsidR="4A7BADF6" w:rsidRDefault="4A7BADF6" w:rsidP="0A8C1D82">
      <w:pPr>
        <w:pStyle w:val="ListParagraph"/>
        <w:rPr>
          <w:rFonts w:ascii="Georgia" w:eastAsia="Georgia" w:hAnsi="Georgia" w:cs="Georgia"/>
          <w:sz w:val="20"/>
          <w:szCs w:val="20"/>
          <w:lang w:val="en-GB"/>
        </w:rPr>
      </w:pPr>
      <w:r w:rsidRPr="0A8C1D82">
        <w:rPr>
          <w:rFonts w:ascii="Georgia" w:eastAsia="Georgia" w:hAnsi="Georgia" w:cs="Georgia"/>
          <w:sz w:val="20"/>
          <w:szCs w:val="20"/>
          <w:lang w:val="en-GB"/>
        </w:rPr>
        <w:t>Treasury-related activities have overtaken syndicated lending as the top contributor to revenues, reflecting a major shift in product mix and client demand. In 2024, revenues from treasury services reached €1.8bn and made up 29% of corporate banking revenues, followed by €1.6bn (26%) from syndicated loans and €1.2bn (18%) for bilateral loans.</w:t>
      </w:r>
    </w:p>
    <w:p w14:paraId="580846D7" w14:textId="779B28D0" w:rsidR="6F43286E" w:rsidRDefault="6F43286E" w:rsidP="0A8C1D82">
      <w:pPr>
        <w:rPr>
          <w:rFonts w:ascii="Georgia" w:eastAsia="Georgia" w:hAnsi="Georgia" w:cs="Georgia"/>
          <w:sz w:val="20"/>
          <w:szCs w:val="20"/>
          <w:lang w:val="en-GB"/>
        </w:rPr>
      </w:pPr>
    </w:p>
    <w:p w14:paraId="79E49878" w14:textId="723F5AE2" w:rsidR="4A7BADF6" w:rsidRDefault="4A7BAD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Net profits bounce back strongly </w:t>
      </w:r>
    </w:p>
    <w:p w14:paraId="696350C8" w14:textId="7ABF58B5" w:rsidR="4A7BADF6" w:rsidRDefault="4A7BADF6" w:rsidP="0A8C1D82">
      <w:pPr>
        <w:pStyle w:val="ListParagraph"/>
        <w:rPr>
          <w:rFonts w:ascii="Georgia" w:eastAsia="Georgia" w:hAnsi="Georgia" w:cs="Georgia"/>
          <w:sz w:val="20"/>
          <w:szCs w:val="20"/>
          <w:lang w:val="en-GB"/>
        </w:rPr>
      </w:pPr>
      <w:r w:rsidRPr="0A8C1D82">
        <w:rPr>
          <w:rFonts w:ascii="Georgia" w:eastAsia="Georgia" w:hAnsi="Georgia" w:cs="Georgia"/>
          <w:sz w:val="20"/>
          <w:szCs w:val="20"/>
          <w:lang w:val="en-GB"/>
        </w:rPr>
        <w:t xml:space="preserve">After a challenging 2022, net profits surged in 2023 and set a </w:t>
      </w:r>
      <w:bookmarkStart w:id="1" w:name="_Int_Tq3mcbAw"/>
      <w:proofErr w:type="gramStart"/>
      <w:r w:rsidRPr="0A8C1D82">
        <w:rPr>
          <w:rFonts w:ascii="Georgia" w:eastAsia="Georgia" w:hAnsi="Georgia" w:cs="Georgia"/>
          <w:sz w:val="20"/>
          <w:szCs w:val="20"/>
          <w:lang w:val="en-GB"/>
        </w:rPr>
        <w:t>new record</w:t>
      </w:r>
      <w:bookmarkEnd w:id="1"/>
      <w:proofErr w:type="gramEnd"/>
      <w:r w:rsidRPr="0A8C1D82">
        <w:rPr>
          <w:rFonts w:ascii="Georgia" w:eastAsia="Georgia" w:hAnsi="Georgia" w:cs="Georgia"/>
          <w:sz w:val="20"/>
          <w:szCs w:val="20"/>
          <w:lang w:val="en-GB"/>
        </w:rPr>
        <w:t xml:space="preserve"> in 2024, reaching €2.8bn. This growth highlights the sector’s ability to recover and adapt to changing market conditions.</w:t>
      </w:r>
    </w:p>
    <w:p w14:paraId="3D723C5A" w14:textId="2AA55224" w:rsidR="6F43286E" w:rsidRDefault="6F43286E" w:rsidP="0A8C1D82">
      <w:pPr>
        <w:pStyle w:val="ListParagraph"/>
        <w:rPr>
          <w:rFonts w:ascii="Georgia" w:eastAsia="Georgia" w:hAnsi="Georgia" w:cs="Georgia"/>
          <w:sz w:val="20"/>
          <w:szCs w:val="20"/>
          <w:lang w:val="en-GB"/>
        </w:rPr>
      </w:pPr>
    </w:p>
    <w:p w14:paraId="4193A3D1" w14:textId="3F20D1B4" w:rsidR="4A7BADF6" w:rsidRDefault="4A7BAD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Building in-house talent and capabilities </w:t>
      </w:r>
    </w:p>
    <w:p w14:paraId="7EFC31BD" w14:textId="5CF810C3" w:rsidR="4A7BADF6" w:rsidRDefault="4A7BADF6" w:rsidP="5857E542">
      <w:pPr>
        <w:pStyle w:val="ListParagraph"/>
        <w:rPr>
          <w:rFonts w:ascii="Georgia" w:eastAsia="Georgia" w:hAnsi="Georgia" w:cs="Georgia"/>
          <w:sz w:val="20"/>
          <w:szCs w:val="20"/>
          <w:lang w:val="en-GB"/>
        </w:rPr>
      </w:pPr>
      <w:r w:rsidRPr="5857E542">
        <w:rPr>
          <w:rFonts w:ascii="Georgia" w:eastAsia="Georgia" w:hAnsi="Georgia" w:cs="Georgia"/>
          <w:sz w:val="20"/>
          <w:szCs w:val="20"/>
          <w:lang w:val="en-GB"/>
        </w:rPr>
        <w:t>Luxembourg corporate banking players tend to retain core functions (e.g., strategic, regulatory, compliance, risk, audit) in-house, outsourcing IT to attract financial expertise, manage costs, and bridge skills gaps. Strengthening employees’ digital and ESG capabilities is essential to long-term competitiveness and efficiency, as is the pragmatic use of AI and process automation.</w:t>
      </w:r>
    </w:p>
    <w:p w14:paraId="1E51228B" w14:textId="7063AE2D" w:rsidR="6F43286E" w:rsidRDefault="6F43286E" w:rsidP="0A8C1D82">
      <w:pPr>
        <w:rPr>
          <w:rFonts w:ascii="Georgia" w:eastAsia="Georgia" w:hAnsi="Georgia" w:cs="Georgia"/>
          <w:sz w:val="20"/>
          <w:szCs w:val="20"/>
          <w:lang w:val="en-GB"/>
        </w:rPr>
      </w:pPr>
    </w:p>
    <w:p w14:paraId="69959120" w14:textId="2BF2745F" w:rsidR="1C20C5F6" w:rsidRDefault="1C20C5F6" w:rsidP="0A8C1D82">
      <w:pPr>
        <w:pStyle w:val="ListParagraph"/>
        <w:numPr>
          <w:ilvl w:val="0"/>
          <w:numId w:val="1"/>
        </w:numPr>
        <w:rPr>
          <w:rFonts w:ascii="Georgia" w:eastAsia="Georgia" w:hAnsi="Georgia" w:cs="Georgia"/>
          <w:b/>
          <w:bCs/>
          <w:sz w:val="20"/>
          <w:szCs w:val="20"/>
          <w:lang w:val="en-GB"/>
        </w:rPr>
      </w:pPr>
      <w:r w:rsidRPr="0A8C1D82">
        <w:rPr>
          <w:rFonts w:ascii="Georgia" w:eastAsia="Georgia" w:hAnsi="Georgia" w:cs="Georgia"/>
          <w:b/>
          <w:bCs/>
          <w:sz w:val="20"/>
          <w:szCs w:val="20"/>
          <w:lang w:val="en-GB"/>
        </w:rPr>
        <w:t xml:space="preserve">Sustainable finance on the rise </w:t>
      </w:r>
    </w:p>
    <w:p w14:paraId="55ADA64E" w14:textId="4A2D4310" w:rsidR="1C20C5F6" w:rsidRDefault="1C20C5F6" w:rsidP="0A8C1D82">
      <w:pPr>
        <w:pStyle w:val="ListParagraph"/>
        <w:rPr>
          <w:rFonts w:ascii="Georgia" w:eastAsia="Georgia" w:hAnsi="Georgia" w:cs="Georgia"/>
          <w:sz w:val="20"/>
          <w:szCs w:val="20"/>
          <w:lang w:val="en-GB"/>
        </w:rPr>
      </w:pPr>
      <w:r w:rsidRPr="5857E542">
        <w:rPr>
          <w:rFonts w:ascii="Georgia" w:eastAsia="Georgia" w:hAnsi="Georgia" w:cs="Georgia"/>
          <w:sz w:val="20"/>
          <w:szCs w:val="20"/>
          <w:lang w:val="en-GB"/>
        </w:rPr>
        <w:t xml:space="preserve">Corporate banking activities linked to ESG criteria </w:t>
      </w:r>
      <w:r w:rsidR="49FF4FF2" w:rsidRPr="5857E542">
        <w:rPr>
          <w:rFonts w:ascii="Georgia" w:eastAsia="Georgia" w:hAnsi="Georgia" w:cs="Georgia"/>
          <w:sz w:val="20"/>
          <w:szCs w:val="20"/>
          <w:lang w:val="en-GB"/>
        </w:rPr>
        <w:t>are</w:t>
      </w:r>
      <w:r w:rsidRPr="5857E542">
        <w:rPr>
          <w:rFonts w:ascii="Georgia" w:eastAsia="Georgia" w:hAnsi="Georgia" w:cs="Georgia"/>
          <w:sz w:val="20"/>
          <w:szCs w:val="20"/>
          <w:lang w:val="en-GB"/>
        </w:rPr>
        <w:t xml:space="preserve"> very prevalent. Over three-quarters (76%) of banks offer sustainability-linked loans, while 62% offer environmental or climate-related corporate loans and 45% offer preferential conditions on ESG-related corporate banking products. Moreover, sustainability is increasingly reflected in corporate lending, with the average percentage of the corporate lending portfolio having </w:t>
      </w:r>
      <w:proofErr w:type="gramStart"/>
      <w:r w:rsidRPr="5857E542">
        <w:rPr>
          <w:rFonts w:ascii="Georgia" w:eastAsia="Georgia" w:hAnsi="Georgia" w:cs="Georgia"/>
          <w:sz w:val="20"/>
          <w:szCs w:val="20"/>
          <w:lang w:val="en-GB"/>
        </w:rPr>
        <w:t>some</w:t>
      </w:r>
      <w:proofErr w:type="gramEnd"/>
      <w:r w:rsidRPr="5857E542">
        <w:rPr>
          <w:rFonts w:ascii="Georgia" w:eastAsia="Georgia" w:hAnsi="Georgia" w:cs="Georgia"/>
          <w:sz w:val="20"/>
          <w:szCs w:val="20"/>
          <w:lang w:val="en-GB"/>
        </w:rPr>
        <w:t xml:space="preserve"> ESG criteria increasing from 11.9% in 2023 to 14.7% in 2024. Given that decarbonisation and sustainability remain a key policy priority of the European Commission (e.g., it is one of the three pillars of the Competitiveness Compass), this trend is expected to continue in the coming years.</w:t>
      </w:r>
    </w:p>
    <w:p w14:paraId="4064072D" w14:textId="1234F74D" w:rsidR="6F43286E" w:rsidRDefault="6F43286E" w:rsidP="0A8C1D82">
      <w:pPr>
        <w:rPr>
          <w:rFonts w:ascii="Georgia" w:eastAsia="Georgia" w:hAnsi="Georgia" w:cs="Georgia"/>
          <w:sz w:val="20"/>
          <w:szCs w:val="20"/>
          <w:lang w:val="en-GB"/>
        </w:rPr>
      </w:pPr>
    </w:p>
    <w:p w14:paraId="49EAA067" w14:textId="77777777" w:rsidR="00B45A41" w:rsidRDefault="00B45A41" w:rsidP="00B45A41">
      <w:pPr>
        <w:rPr>
          <w:rFonts w:ascii="Georgia" w:eastAsia="Georgia" w:hAnsi="Georgia" w:cs="Georgia"/>
          <w:sz w:val="20"/>
          <w:szCs w:val="20"/>
          <w:lang w:val="en-GB"/>
        </w:rPr>
      </w:pPr>
    </w:p>
    <w:p w14:paraId="491866DC" w14:textId="77777777" w:rsidR="00B45A41" w:rsidRDefault="00B45A41" w:rsidP="00B45A41">
      <w:pPr>
        <w:rPr>
          <w:rFonts w:ascii="Georgia" w:eastAsia="Georgia" w:hAnsi="Georgia" w:cs="Georgia"/>
          <w:sz w:val="20"/>
          <w:szCs w:val="20"/>
          <w:lang w:val="en-GB"/>
        </w:rPr>
      </w:pPr>
      <w:r w:rsidRPr="7CDD4F9C">
        <w:rPr>
          <w:rFonts w:ascii="Georgia" w:eastAsia="Georgia" w:hAnsi="Georgia" w:cs="Georgia"/>
          <w:sz w:val="20"/>
          <w:szCs w:val="20"/>
          <w:lang w:val="en-GB"/>
        </w:rPr>
        <w:lastRenderedPageBreak/>
        <w:t>To remain competitive, the focus must remain on attracting, training, and retaining skilled professionals who can deliver specialised expertise and drive Luxembourg’s financial centre forward in an evolving landscape.</w:t>
      </w:r>
    </w:p>
    <w:p w14:paraId="493E81F2" w14:textId="77777777" w:rsidR="00B45A41" w:rsidRDefault="00B45A41" w:rsidP="0A8C1D82">
      <w:pPr>
        <w:rPr>
          <w:rFonts w:ascii="Georgia" w:eastAsia="Georgia" w:hAnsi="Georgia" w:cs="Georgia"/>
          <w:sz w:val="20"/>
          <w:szCs w:val="20"/>
          <w:lang w:val="en-GB"/>
        </w:rPr>
      </w:pPr>
    </w:p>
    <w:p w14:paraId="1A3E91A3" w14:textId="617EC841" w:rsidR="6F43286E" w:rsidRDefault="6F43286E" w:rsidP="0A8C1D82">
      <w:pPr>
        <w:rPr>
          <w:rFonts w:ascii="Georgia" w:eastAsia="Georgia" w:hAnsi="Georgia" w:cs="Georgia"/>
          <w:sz w:val="20"/>
          <w:szCs w:val="20"/>
          <w:lang w:val="en-GB"/>
        </w:rPr>
      </w:pPr>
    </w:p>
    <w:p w14:paraId="65F373BB" w14:textId="595BE7D5" w:rsidR="7B168051" w:rsidRDefault="7B168051" w:rsidP="0A8C1D82">
      <w:pPr>
        <w:rPr>
          <w:rFonts w:ascii="Georgia" w:eastAsia="Georgia" w:hAnsi="Georgia" w:cs="Georgia"/>
          <w:sz w:val="20"/>
          <w:szCs w:val="20"/>
          <w:lang w:val="en-GB"/>
        </w:rPr>
      </w:pPr>
      <w:hyperlink r:id="rId18">
        <w:r w:rsidRPr="5857E542">
          <w:rPr>
            <w:rStyle w:val="Hyperlink"/>
            <w:rFonts w:ascii="Georgia" w:eastAsia="Georgia" w:hAnsi="Georgia" w:cs="Georgia"/>
            <w:sz w:val="20"/>
            <w:szCs w:val="20"/>
            <w:lang w:val="en-GB"/>
          </w:rPr>
          <w:t xml:space="preserve">Dr. Daniel Zapf </w:t>
        </w:r>
        <w:proofErr w:type="gramStart"/>
        <w:r w:rsidRPr="5857E542">
          <w:rPr>
            <w:rStyle w:val="Hyperlink"/>
            <w:rFonts w:ascii="Georgia" w:eastAsia="Georgia" w:hAnsi="Georgia" w:cs="Georgia"/>
            <w:sz w:val="20"/>
            <w:szCs w:val="20"/>
            <w:lang w:val="en-GB"/>
          </w:rPr>
          <w:t>Chairman</w:t>
        </w:r>
        <w:proofErr w:type="gramEnd"/>
        <w:r w:rsidR="0F7A157A" w:rsidRPr="5857E542">
          <w:rPr>
            <w:rStyle w:val="Hyperlink"/>
            <w:rFonts w:ascii="Georgia" w:eastAsia="Georgia" w:hAnsi="Georgia" w:cs="Georgia"/>
            <w:sz w:val="20"/>
            <w:szCs w:val="20"/>
            <w:lang w:val="en-GB"/>
          </w:rPr>
          <w:t>,</w:t>
        </w:r>
      </w:hyperlink>
      <w:r w:rsidR="0F7A157A" w:rsidRPr="5857E542">
        <w:rPr>
          <w:rFonts w:ascii="Georgia" w:eastAsia="Georgia" w:hAnsi="Georgia" w:cs="Georgia"/>
          <w:sz w:val="20"/>
          <w:szCs w:val="20"/>
          <w:lang w:val="en-GB"/>
        </w:rPr>
        <w:t xml:space="preserve"> </w:t>
      </w:r>
      <w:r w:rsidRPr="5857E542">
        <w:rPr>
          <w:rFonts w:ascii="Georgia" w:eastAsia="Georgia" w:hAnsi="Georgia" w:cs="Georgia"/>
          <w:sz w:val="20"/>
          <w:szCs w:val="20"/>
          <w:lang w:val="en-GB"/>
        </w:rPr>
        <w:t>ABBL Corporate and Institutional Banking Cluster; CEO - Deutsche Bank Luxembourg S.A</w:t>
      </w:r>
      <w:r w:rsidR="44F62F09" w:rsidRPr="5857E542">
        <w:rPr>
          <w:rFonts w:ascii="Georgia" w:eastAsia="Georgia" w:hAnsi="Georgia" w:cs="Georgia"/>
          <w:sz w:val="20"/>
          <w:szCs w:val="20"/>
          <w:lang w:val="en-GB"/>
        </w:rPr>
        <w:t>.</w:t>
      </w:r>
    </w:p>
    <w:p w14:paraId="2920DD1D" w14:textId="77777777" w:rsidR="00AF045A" w:rsidRPr="00271DF2" w:rsidRDefault="00AF045A" w:rsidP="7CDD4F9C">
      <w:pPr>
        <w:rPr>
          <w:rFonts w:ascii="Georgia" w:eastAsia="Georgia" w:hAnsi="Georgia" w:cs="Georgia"/>
          <w:i/>
          <w:iCs/>
          <w:sz w:val="20"/>
          <w:szCs w:val="20"/>
          <w:lang w:val="en-GB"/>
        </w:rPr>
      </w:pPr>
      <w:r w:rsidRPr="7CDD4F9C">
        <w:rPr>
          <w:rFonts w:ascii="Georgia" w:eastAsia="Georgia" w:hAnsi="Georgia" w:cs="Georgia"/>
          <w:i/>
          <w:iCs/>
          <w:sz w:val="20"/>
          <w:szCs w:val="20"/>
          <w:lang w:val="en-GB"/>
        </w:rPr>
        <w:t>“Luxembourg’s corporate banks’ success is no accident. It is rooted in Luxembourg’s unique combination of stability, innovation, and international connectivity. But the real test lies ahead as Europe is entering a decisive decade. Against a backdrop of geopolitical uncertainty, energy insecurity, and climate urgency, the task before us is clear: to contribute to build a more secure, more digital, and greener economy.”</w:t>
      </w:r>
    </w:p>
    <w:p w14:paraId="556B751E" w14:textId="77777777" w:rsidR="00B45A41" w:rsidRDefault="00B45A41" w:rsidP="7CDD4F9C">
      <w:pPr>
        <w:rPr>
          <w:rFonts w:ascii="Georgia" w:eastAsia="Georgia" w:hAnsi="Georgia" w:cs="Georgia"/>
          <w:i/>
          <w:iCs/>
          <w:sz w:val="20"/>
          <w:szCs w:val="20"/>
          <w:lang w:val="en-GB"/>
        </w:rPr>
      </w:pPr>
    </w:p>
    <w:p w14:paraId="3534BA1C" w14:textId="1C9F3529" w:rsidR="00B45A41" w:rsidRDefault="00B45A41" w:rsidP="0A8C1D82">
      <w:pPr>
        <w:rPr>
          <w:rFonts w:ascii="Georgia" w:eastAsia="Georgia" w:hAnsi="Georgia" w:cs="Georgia"/>
          <w:sz w:val="20"/>
          <w:szCs w:val="20"/>
          <w:lang w:val="en-GB"/>
        </w:rPr>
      </w:pPr>
      <w:hyperlink r:id="rId19" w:history="1">
        <w:r w:rsidRPr="00955CCA">
          <w:rPr>
            <w:rStyle w:val="Hyperlink"/>
            <w:rFonts w:ascii="Georgia" w:eastAsia="Georgia" w:hAnsi="Georgia" w:cs="Georgia"/>
            <w:sz w:val="20"/>
            <w:szCs w:val="20"/>
            <w:lang w:val="en-GB"/>
          </w:rPr>
          <w:t>Hélène Lange</w:t>
        </w:r>
      </w:hyperlink>
      <w:r>
        <w:rPr>
          <w:rFonts w:ascii="Georgia" w:eastAsia="Georgia" w:hAnsi="Georgia" w:cs="Georgia"/>
          <w:sz w:val="20"/>
          <w:szCs w:val="20"/>
          <w:lang w:val="en-GB"/>
        </w:rPr>
        <w:t>, Head of Business Coordination</w:t>
      </w:r>
      <w:r w:rsidR="79361CF1">
        <w:rPr>
          <w:rFonts w:ascii="Georgia" w:eastAsia="Georgia" w:hAnsi="Georgia" w:cs="Georgia"/>
          <w:sz w:val="20"/>
          <w:szCs w:val="20"/>
          <w:lang w:val="en-GB"/>
        </w:rPr>
        <w:t xml:space="preserve"> -</w:t>
      </w:r>
      <w:r>
        <w:rPr>
          <w:rFonts w:ascii="Georgia" w:eastAsia="Georgia" w:hAnsi="Georgia" w:cs="Georgia"/>
          <w:sz w:val="20"/>
          <w:szCs w:val="20"/>
          <w:lang w:val="en-GB"/>
        </w:rPr>
        <w:t xml:space="preserve"> ABBL</w:t>
      </w:r>
    </w:p>
    <w:p w14:paraId="76CA86C9" w14:textId="3EFC14C4" w:rsidR="00B45A41" w:rsidRPr="00B45A41" w:rsidRDefault="00B45A41" w:rsidP="5857E542">
      <w:pPr>
        <w:rPr>
          <w:rFonts w:ascii="Georgia" w:eastAsia="Georgia" w:hAnsi="Georgia" w:cs="Georgia"/>
          <w:i/>
          <w:iCs/>
          <w:sz w:val="20"/>
          <w:szCs w:val="20"/>
          <w:lang w:val="en-GB"/>
        </w:rPr>
      </w:pPr>
      <w:r w:rsidRPr="5857E542">
        <w:rPr>
          <w:rFonts w:asciiTheme="majorHAnsi" w:eastAsia="Georgia" w:hAnsiTheme="majorHAnsi" w:cstheme="majorBidi"/>
          <w:i/>
          <w:iCs/>
          <w:sz w:val="20"/>
          <w:szCs w:val="20"/>
          <w:lang w:val="en-GB"/>
        </w:rPr>
        <w:t>“</w:t>
      </w:r>
      <w:r w:rsidRPr="5857E542">
        <w:rPr>
          <w:rFonts w:ascii="Georgia" w:eastAsia="Georgia" w:hAnsi="Georgia" w:cs="Georgia"/>
          <w:i/>
          <w:iCs/>
          <w:sz w:val="20"/>
          <w:szCs w:val="20"/>
          <w:lang w:val="en-GB"/>
        </w:rPr>
        <w:t xml:space="preserve">Luxembourg’s corporate banking sector still flies too often under the international radar. The industry’s expertise in cross-border finance, sustainable lending, and risk management is world-class — but the world </w:t>
      </w:r>
      <w:proofErr w:type="gramStart"/>
      <w:r w:rsidRPr="5857E542">
        <w:rPr>
          <w:rFonts w:ascii="Georgia" w:eastAsia="Georgia" w:hAnsi="Georgia" w:cs="Georgia"/>
          <w:i/>
          <w:iCs/>
          <w:sz w:val="20"/>
          <w:szCs w:val="20"/>
          <w:lang w:val="en-GB"/>
        </w:rPr>
        <w:t>doesn’t</w:t>
      </w:r>
      <w:proofErr w:type="gramEnd"/>
      <w:r w:rsidRPr="5857E542">
        <w:rPr>
          <w:rFonts w:ascii="Georgia" w:eastAsia="Georgia" w:hAnsi="Georgia" w:cs="Georgia"/>
          <w:i/>
          <w:iCs/>
          <w:sz w:val="20"/>
          <w:szCs w:val="20"/>
          <w:lang w:val="en-GB"/>
        </w:rPr>
        <w:t xml:space="preserve"> always know it. That is why the ABBL is intensifying its international outreach through missions, partnerships and teaming up with PwC to </w:t>
      </w:r>
      <w:r w:rsidR="00955CCA" w:rsidRPr="5857E542">
        <w:rPr>
          <w:rFonts w:ascii="Georgia" w:eastAsia="Georgia" w:hAnsi="Georgia" w:cs="Georgia"/>
          <w:i/>
          <w:iCs/>
          <w:sz w:val="20"/>
          <w:szCs w:val="20"/>
          <w:lang w:val="en-GB"/>
        </w:rPr>
        <w:t xml:space="preserve">publish a </w:t>
      </w:r>
      <w:r w:rsidRPr="5857E542">
        <w:rPr>
          <w:rFonts w:ascii="Georgia" w:eastAsia="Georgia" w:hAnsi="Georgia" w:cs="Georgia"/>
          <w:i/>
          <w:iCs/>
          <w:sz w:val="20"/>
          <w:szCs w:val="20"/>
          <w:lang w:val="en-GB"/>
        </w:rPr>
        <w:t>pitchbook to promote Luxembourg’s corporate banking expertise and its role in Europe’s financial evolution.</w:t>
      </w:r>
      <w:r w:rsidR="00955CCA" w:rsidRPr="5857E542">
        <w:rPr>
          <w:rFonts w:ascii="Georgia" w:eastAsia="Georgia" w:hAnsi="Georgia" w:cs="Georgia"/>
          <w:i/>
          <w:iCs/>
          <w:sz w:val="20"/>
          <w:szCs w:val="20"/>
          <w:lang w:val="en-GB"/>
        </w:rPr>
        <w:t>”</w:t>
      </w:r>
    </w:p>
    <w:p w14:paraId="44510EAA" w14:textId="182A9B6D" w:rsidR="1C20C5F6" w:rsidRDefault="1C20C5F6" w:rsidP="0A8C1D82">
      <w:pPr>
        <w:rPr>
          <w:rFonts w:ascii="Georgia" w:eastAsia="Georgia" w:hAnsi="Georgia" w:cs="Georgia"/>
          <w:color w:val="FF0000"/>
          <w:sz w:val="20"/>
          <w:szCs w:val="20"/>
          <w:lang w:val="en-GB"/>
        </w:rPr>
      </w:pPr>
    </w:p>
    <w:p w14:paraId="77C75F3C" w14:textId="212A4DEA" w:rsidR="6F43286E" w:rsidRDefault="55730C45" w:rsidP="0A8C1D82">
      <w:pPr>
        <w:rPr>
          <w:rFonts w:ascii="Georgia" w:eastAsia="Georgia" w:hAnsi="Georgia" w:cs="Georgia"/>
          <w:sz w:val="20"/>
          <w:szCs w:val="20"/>
          <w:lang w:val="en-GB"/>
        </w:rPr>
      </w:pPr>
      <w:hyperlink r:id="rId20">
        <w:r w:rsidRPr="5857E542">
          <w:rPr>
            <w:rStyle w:val="Hyperlink"/>
            <w:rFonts w:ascii="Georgia" w:eastAsia="Georgia" w:hAnsi="Georgia" w:cs="Georgia"/>
            <w:sz w:val="20"/>
            <w:szCs w:val="20"/>
          </w:rPr>
          <w:t>Julie Batsch</w:t>
        </w:r>
        <w:r w:rsidR="1FBA9616" w:rsidRPr="5857E542">
          <w:rPr>
            <w:rStyle w:val="Hyperlink"/>
            <w:rFonts w:ascii="Georgia" w:eastAsia="Georgia" w:hAnsi="Georgia" w:cs="Georgia"/>
            <w:sz w:val="20"/>
            <w:szCs w:val="20"/>
          </w:rPr>
          <w:t>,</w:t>
        </w:r>
      </w:hyperlink>
      <w:r w:rsidR="1FBA9616" w:rsidRPr="5857E542">
        <w:rPr>
          <w:rFonts w:ascii="Georgia" w:eastAsia="Georgia" w:hAnsi="Georgia" w:cs="Georgia"/>
          <w:sz w:val="20"/>
          <w:szCs w:val="20"/>
          <w:lang w:val="en-GB"/>
        </w:rPr>
        <w:t xml:space="preserve"> </w:t>
      </w:r>
      <w:r w:rsidRPr="5857E542">
        <w:rPr>
          <w:rFonts w:ascii="Georgia" w:eastAsia="Georgia" w:hAnsi="Georgia" w:cs="Georgia"/>
          <w:sz w:val="20"/>
          <w:szCs w:val="20"/>
          <w:lang w:val="en-GB"/>
        </w:rPr>
        <w:t>Assurance Partner, Banking &amp; Capital Markets Leader</w:t>
      </w:r>
      <w:r w:rsidR="4E38EFA6" w:rsidRPr="5857E542">
        <w:rPr>
          <w:rFonts w:ascii="Georgia" w:eastAsia="Georgia" w:hAnsi="Georgia" w:cs="Georgia"/>
          <w:sz w:val="20"/>
          <w:szCs w:val="20"/>
          <w:lang w:val="en-GB"/>
        </w:rPr>
        <w:t xml:space="preserve"> –PwC Luxembourg</w:t>
      </w:r>
    </w:p>
    <w:p w14:paraId="41C4F64C" w14:textId="184EAA8A" w:rsidR="105D9DEF" w:rsidRDefault="105D9DEF" w:rsidP="5857E542">
      <w:pPr>
        <w:rPr>
          <w:rFonts w:ascii="Georgia" w:eastAsia="Georgia" w:hAnsi="Georgia" w:cs="Georgia"/>
          <w:i/>
          <w:iCs/>
          <w:sz w:val="20"/>
          <w:szCs w:val="20"/>
          <w:lang w:val="en-GB"/>
        </w:rPr>
      </w:pPr>
      <w:r w:rsidRPr="5857E542">
        <w:rPr>
          <w:rFonts w:ascii="Georgia" w:eastAsia="Georgia" w:hAnsi="Georgia" w:cs="Georgia"/>
          <w:i/>
          <w:iCs/>
          <w:sz w:val="20"/>
          <w:szCs w:val="20"/>
          <w:lang w:val="en-GB"/>
        </w:rPr>
        <w:t xml:space="preserve">“The corporate banking landscape in Luxembourg faces a promising yet demanding outlook. As interest rates stabilise, margin compression will </w:t>
      </w:r>
      <w:proofErr w:type="gramStart"/>
      <w:r w:rsidRPr="5857E542">
        <w:rPr>
          <w:rFonts w:ascii="Georgia" w:eastAsia="Georgia" w:hAnsi="Georgia" w:cs="Georgia"/>
          <w:i/>
          <w:iCs/>
          <w:sz w:val="20"/>
          <w:szCs w:val="20"/>
          <w:lang w:val="en-GB"/>
        </w:rPr>
        <w:t>test</w:t>
      </w:r>
      <w:proofErr w:type="gramEnd"/>
      <w:r w:rsidRPr="5857E542">
        <w:rPr>
          <w:rFonts w:ascii="Georgia" w:eastAsia="Georgia" w:hAnsi="Georgia" w:cs="Georgia"/>
          <w:i/>
          <w:iCs/>
          <w:sz w:val="20"/>
          <w:szCs w:val="20"/>
          <w:lang w:val="en-GB"/>
        </w:rPr>
        <w:t xml:space="preserve"> institutions’ ability to maintain profitability through operational efficiency, diversified revenue streams, and deeper client engagement. The emergence of private credit as a complementary financing channel, growing opportunities in emerging markets, and the evolution toward integrated advisory services all represent pathways for continued development.</w:t>
      </w:r>
      <w:r w:rsidR="76692CFA" w:rsidRPr="5857E542">
        <w:rPr>
          <w:rFonts w:ascii="Georgia" w:eastAsia="Georgia" w:hAnsi="Georgia" w:cs="Georgia"/>
          <w:i/>
          <w:iCs/>
          <w:sz w:val="20"/>
          <w:szCs w:val="20"/>
          <w:lang w:val="en-GB"/>
        </w:rPr>
        <w:t>”</w:t>
      </w:r>
    </w:p>
    <w:p w14:paraId="00ACEEB2" w14:textId="1FB8C4FD" w:rsidR="6F43286E" w:rsidRDefault="6F43286E" w:rsidP="0A8C1D82">
      <w:pPr>
        <w:rPr>
          <w:rFonts w:ascii="Georgia" w:eastAsia="Georgia" w:hAnsi="Georgia" w:cs="Georgia"/>
          <w:color w:val="FF0000"/>
          <w:sz w:val="20"/>
          <w:szCs w:val="20"/>
          <w:lang w:val="en-GB"/>
        </w:rPr>
      </w:pPr>
    </w:p>
    <w:p w14:paraId="4DD85CA5" w14:textId="5B31A819" w:rsidR="6F43286E" w:rsidRDefault="6B53CF90" w:rsidP="5857E542">
      <w:pPr>
        <w:rPr>
          <w:rFonts w:ascii="Georgia" w:eastAsia="Georgia" w:hAnsi="Georgia" w:cs="Georgia"/>
          <w:sz w:val="20"/>
          <w:szCs w:val="20"/>
          <w:lang w:val="en-GB"/>
        </w:rPr>
      </w:pPr>
      <w:hyperlink r:id="rId21">
        <w:r w:rsidRPr="5857E542">
          <w:rPr>
            <w:rStyle w:val="Hyperlink"/>
            <w:rFonts w:ascii="Georgia" w:eastAsia="Georgia" w:hAnsi="Georgia" w:cs="Georgia"/>
            <w:sz w:val="20"/>
            <w:szCs w:val="20"/>
            <w:lang w:val="en-GB"/>
          </w:rPr>
          <w:t>Ryan Davis</w:t>
        </w:r>
      </w:hyperlink>
      <w:r w:rsidRPr="5857E542">
        <w:rPr>
          <w:rFonts w:ascii="Georgia" w:eastAsia="Georgia" w:hAnsi="Georgia" w:cs="Georgia"/>
          <w:sz w:val="20"/>
          <w:szCs w:val="20"/>
          <w:lang w:val="en-GB"/>
        </w:rPr>
        <w:t xml:space="preserve"> Advisory Partner</w:t>
      </w:r>
      <w:r w:rsidR="30BA6046" w:rsidRPr="5857E542">
        <w:rPr>
          <w:rFonts w:ascii="Georgia" w:eastAsia="Georgia" w:hAnsi="Georgia" w:cs="Georgia"/>
          <w:sz w:val="20"/>
          <w:szCs w:val="20"/>
          <w:lang w:val="en-GB"/>
        </w:rPr>
        <w:t xml:space="preserve"> -</w:t>
      </w:r>
      <w:r w:rsidRPr="5857E542">
        <w:rPr>
          <w:rFonts w:ascii="Georgia" w:eastAsia="Georgia" w:hAnsi="Georgia" w:cs="Georgia"/>
          <w:sz w:val="20"/>
          <w:szCs w:val="20"/>
          <w:lang w:val="en-GB"/>
        </w:rPr>
        <w:t xml:space="preserve"> PwC Luxembourg </w:t>
      </w:r>
    </w:p>
    <w:p w14:paraId="5DB6D190" w14:textId="26A3954E" w:rsidR="274BB3C2" w:rsidRDefault="274BB3C2" w:rsidP="5857E542">
      <w:pPr>
        <w:rPr>
          <w:rFonts w:ascii="Georgia" w:eastAsia="Georgia" w:hAnsi="Georgia" w:cs="Georgia"/>
          <w:i/>
          <w:iCs/>
          <w:sz w:val="20"/>
          <w:szCs w:val="20"/>
          <w:lang w:val="en-GB"/>
        </w:rPr>
      </w:pPr>
      <w:r w:rsidRPr="5857E542">
        <w:rPr>
          <w:rFonts w:ascii="Georgia" w:eastAsia="Georgia" w:hAnsi="Georgia" w:cs="Georgia"/>
          <w:i/>
          <w:iCs/>
          <w:sz w:val="20"/>
          <w:szCs w:val="20"/>
          <w:lang w:val="en-GB"/>
        </w:rPr>
        <w:t>“Looking ahead, various corporate banking players in Luxembourg expect that new entrants from major emerging markets – such as China, Brazil, Mexico and India – will set up shop in the Grand Duchy, using it as a platform to service clients from their home countries and other regions. This will further help position Luxembourg’s corporate banking sector to seize opportunities in the next phase of global economic growth.”</w:t>
      </w:r>
    </w:p>
    <w:p w14:paraId="5ABADBD9" w14:textId="120A0CE3" w:rsidR="6F43286E" w:rsidRDefault="6F43286E" w:rsidP="0A8C1D82">
      <w:pPr>
        <w:rPr>
          <w:rFonts w:ascii="Georgia" w:eastAsia="Georgia" w:hAnsi="Georgia" w:cs="Georgia"/>
          <w:sz w:val="20"/>
          <w:szCs w:val="20"/>
          <w:lang w:val="en-GB"/>
        </w:rPr>
      </w:pPr>
    </w:p>
    <w:p w14:paraId="5AFADA3E" w14:textId="01BE08FB" w:rsidR="6F43286E" w:rsidRDefault="6F43286E" w:rsidP="0A8C1D82">
      <w:pPr>
        <w:rPr>
          <w:rFonts w:ascii="Georgia" w:eastAsia="Georgia" w:hAnsi="Georgia" w:cs="Georgia"/>
          <w:sz w:val="20"/>
          <w:szCs w:val="20"/>
          <w:lang w:val="en-GB"/>
        </w:rPr>
      </w:pPr>
    </w:p>
    <w:p w14:paraId="076A9662" w14:textId="04BAFDFF" w:rsidR="6F43286E" w:rsidRDefault="6F43286E" w:rsidP="0A8C1D82">
      <w:pPr>
        <w:rPr>
          <w:rFonts w:ascii="Georgia" w:eastAsia="Georgia" w:hAnsi="Georgia" w:cs="Georgia"/>
          <w:sz w:val="20"/>
          <w:szCs w:val="20"/>
          <w:lang w:val="en-GB"/>
        </w:rPr>
      </w:pPr>
    </w:p>
    <w:p w14:paraId="00BF22FE" w14:textId="57ED512D" w:rsidR="4CEA239F" w:rsidRDefault="4CEA239F" w:rsidP="0A8C1D82">
      <w:pPr>
        <w:rPr>
          <w:rFonts w:ascii="Georgia" w:eastAsia="Georgia" w:hAnsi="Georgia" w:cs="Georgia"/>
          <w:sz w:val="20"/>
          <w:szCs w:val="20"/>
          <w:lang w:val="en-GB"/>
        </w:rPr>
      </w:pPr>
      <w:r w:rsidRPr="5857E542">
        <w:rPr>
          <w:rFonts w:ascii="Georgia" w:eastAsia="Georgia" w:hAnsi="Georgia" w:cs="Georgia"/>
          <w:sz w:val="20"/>
          <w:szCs w:val="20"/>
          <w:lang w:val="en-GB"/>
        </w:rPr>
        <w:t xml:space="preserve">This year’s survey offers a wealth of insights into structural resilience, client trends, assets under management, lending activities, and the evolution of talent. For a comprehensive analysis and detailed findings, readers are invited to download the full </w:t>
      </w:r>
      <w:hyperlink r:id="rId22">
        <w:r w:rsidRPr="5857E542">
          <w:rPr>
            <w:rStyle w:val="Hyperlink"/>
            <w:rFonts w:ascii="Georgia" w:eastAsia="Georgia" w:hAnsi="Georgia" w:cs="Georgia"/>
            <w:sz w:val="20"/>
            <w:szCs w:val="20"/>
            <w:lang w:val="en-GB"/>
          </w:rPr>
          <w:t>Corporate &amp; Institutional Banking Survey 2025</w:t>
        </w:r>
      </w:hyperlink>
      <w:r w:rsidRPr="5857E542">
        <w:rPr>
          <w:rFonts w:ascii="Georgia" w:eastAsia="Georgia" w:hAnsi="Georgia" w:cs="Georgia"/>
          <w:sz w:val="20"/>
          <w:szCs w:val="20"/>
          <w:lang w:val="en-GB"/>
        </w:rPr>
        <w:t xml:space="preserve">. </w:t>
      </w:r>
    </w:p>
    <w:p w14:paraId="4031F51F" w14:textId="43B6C95E" w:rsidR="6F43286E" w:rsidRDefault="6F43286E" w:rsidP="0A8C1D82">
      <w:pPr>
        <w:rPr>
          <w:rFonts w:ascii="Georgia" w:eastAsia="Georgia" w:hAnsi="Georgia" w:cs="Georgia"/>
          <w:sz w:val="20"/>
          <w:szCs w:val="20"/>
          <w:lang w:val="en-GB"/>
        </w:rPr>
      </w:pPr>
    </w:p>
    <w:p w14:paraId="05F72EDA" w14:textId="76D1BF00" w:rsidR="6F43286E" w:rsidRDefault="6F43286E" w:rsidP="5857E542">
      <w:pPr>
        <w:rPr>
          <w:rFonts w:ascii="Georgia" w:eastAsia="Georgia" w:hAnsi="Georgia" w:cs="Georgia"/>
          <w:b/>
          <w:bCs/>
          <w:sz w:val="20"/>
          <w:szCs w:val="20"/>
          <w:lang w:val="en-GB"/>
        </w:rPr>
      </w:pPr>
    </w:p>
    <w:p w14:paraId="7EF49ED5" w14:textId="487D165D" w:rsidR="23D93BE7" w:rsidRDefault="23D93BE7" w:rsidP="0A8C1D82">
      <w:pPr>
        <w:rPr>
          <w:rFonts w:ascii="Georgia" w:eastAsia="Georgia" w:hAnsi="Georgia" w:cs="Georgia"/>
          <w:b/>
          <w:bCs/>
          <w:sz w:val="20"/>
          <w:szCs w:val="20"/>
          <w:lang w:val="en-GB"/>
        </w:rPr>
      </w:pPr>
      <w:r w:rsidRPr="0A8C1D82">
        <w:rPr>
          <w:rFonts w:ascii="Georgia" w:eastAsia="Georgia" w:hAnsi="Georgia" w:cs="Georgia"/>
          <w:b/>
          <w:bCs/>
          <w:sz w:val="20"/>
          <w:szCs w:val="20"/>
          <w:lang w:val="en-GB"/>
        </w:rPr>
        <w:t>Methodology</w:t>
      </w:r>
    </w:p>
    <w:p w14:paraId="2C001A30" w14:textId="691CEB2F" w:rsidR="6F43286E" w:rsidRDefault="6F43286E" w:rsidP="0A8C1D82">
      <w:pPr>
        <w:rPr>
          <w:rFonts w:ascii="Georgia" w:eastAsia="Georgia" w:hAnsi="Georgia" w:cs="Georgia"/>
          <w:sz w:val="20"/>
          <w:szCs w:val="20"/>
          <w:lang w:val="en-GB"/>
        </w:rPr>
      </w:pPr>
    </w:p>
    <w:p w14:paraId="43F6DCE2" w14:textId="78194F6D" w:rsidR="6F43286E" w:rsidRDefault="6F43286E" w:rsidP="0A8C1D82">
      <w:pPr>
        <w:rPr>
          <w:rFonts w:ascii="Georgia" w:eastAsia="Georgia" w:hAnsi="Georgia" w:cs="Georgia"/>
          <w:sz w:val="20"/>
          <w:szCs w:val="20"/>
          <w:lang w:val="en-GB"/>
        </w:rPr>
      </w:pPr>
    </w:p>
    <w:p w14:paraId="0A39E08F" w14:textId="2FECB661" w:rsidR="4484AFD3" w:rsidRDefault="4484AFD3" w:rsidP="0A8C1D82">
      <w:pPr>
        <w:rPr>
          <w:rFonts w:ascii="Georgia" w:eastAsia="Georgia" w:hAnsi="Georgia" w:cs="Georgia"/>
          <w:sz w:val="20"/>
          <w:szCs w:val="20"/>
          <w:lang w:val="en-GB"/>
        </w:rPr>
      </w:pPr>
      <w:r w:rsidRPr="7CDD4F9C">
        <w:rPr>
          <w:rFonts w:ascii="Georgia" w:eastAsia="Georgia" w:hAnsi="Georgia" w:cs="Georgia"/>
          <w:sz w:val="20"/>
          <w:szCs w:val="20"/>
          <w:lang w:val="en-GB"/>
        </w:rPr>
        <w:t xml:space="preserve">ABBL and Luxembourg  extend sincere gratitude to the Commission de Surveillance du Secteur Financier (CSSF) for their invaluable support in conducting this survey, collecting comprehensive data from 40 corporate banking players, and enabling this collaborative initiative that provides essential market intelligence to inform strategic decision-making and policy development across Luxembourg’s corporate and institutional banking sector. </w:t>
      </w:r>
    </w:p>
    <w:p w14:paraId="2432E0F4" w14:textId="62B3F829" w:rsidR="6F43286E" w:rsidRDefault="6F43286E" w:rsidP="0A8C1D82">
      <w:pPr>
        <w:rPr>
          <w:rFonts w:ascii="Georgia" w:eastAsia="Georgia" w:hAnsi="Georgia" w:cs="Georgia"/>
          <w:sz w:val="20"/>
          <w:szCs w:val="20"/>
          <w:lang w:val="en-GB"/>
        </w:rPr>
      </w:pPr>
    </w:p>
    <w:p w14:paraId="10202616" w14:textId="545F4B5A" w:rsidR="23D93BE7" w:rsidRDefault="23D93BE7" w:rsidP="0A8C1D82">
      <w:pPr>
        <w:rPr>
          <w:rFonts w:ascii="Georgia" w:eastAsia="Georgia" w:hAnsi="Georgia" w:cs="Georgia"/>
          <w:sz w:val="20"/>
          <w:szCs w:val="20"/>
          <w:lang w:val="en-GB"/>
        </w:rPr>
      </w:pPr>
      <w:r w:rsidRPr="0A8C1D82">
        <w:rPr>
          <w:rFonts w:ascii="Georgia" w:eastAsia="Georgia" w:hAnsi="Georgia" w:cs="Georgia"/>
          <w:sz w:val="20"/>
          <w:szCs w:val="20"/>
          <w:lang w:val="en-GB"/>
        </w:rPr>
        <w:t xml:space="preserve">PwC’s Global AWM &amp; ESG Research Centre analysed the results to derive both qualitative and quantitative findings. The focus of the survey is on banks’ corporate banking strategies and activities, rather than their geographical origin. Historical data for 2020–2022 is sourced from earlier editions of the survey. The 2025 edition achieved a marginally higher response rate compared with previous editions </w:t>
      </w:r>
      <w:r w:rsidRPr="0A8C1D82">
        <w:rPr>
          <w:rFonts w:ascii="Georgia" w:eastAsia="Georgia" w:hAnsi="Georgia" w:cs="Georgia"/>
          <w:sz w:val="20"/>
          <w:szCs w:val="20"/>
          <w:lang w:val="en-GB"/>
        </w:rPr>
        <w:lastRenderedPageBreak/>
        <w:t>(29 respondents in 2022 and 35 respondents in 2023), indicating broader engagement and the survey’s ongoing relevance to the sector.</w:t>
      </w:r>
    </w:p>
    <w:p w14:paraId="27EFA901" w14:textId="20DE1F1A" w:rsidR="6F43286E" w:rsidRDefault="6F43286E" w:rsidP="0A8C1D82">
      <w:pPr>
        <w:rPr>
          <w:rFonts w:ascii="Georgia" w:eastAsia="Georgia" w:hAnsi="Georgia" w:cs="Georgia"/>
          <w:sz w:val="20"/>
          <w:szCs w:val="20"/>
          <w:lang w:val="en-GB"/>
        </w:rPr>
      </w:pPr>
    </w:p>
    <w:p w14:paraId="7EAE1B58" w14:textId="71B5C6A8" w:rsidR="47246435" w:rsidRDefault="47246435" w:rsidP="0A8C1D82">
      <w:pPr>
        <w:rPr>
          <w:rFonts w:ascii="Georgia" w:eastAsia="Georgia" w:hAnsi="Georgia" w:cs="Georgia"/>
          <w:sz w:val="20"/>
          <w:szCs w:val="20"/>
          <w:lang w:val="en-GB"/>
        </w:rPr>
      </w:pPr>
      <w:r w:rsidRPr="0A8C1D82">
        <w:rPr>
          <w:rFonts w:ascii="Georgia" w:eastAsia="Georgia" w:hAnsi="Georgia" w:cs="Georgia"/>
          <w:sz w:val="20"/>
          <w:szCs w:val="20"/>
          <w:lang w:val="en-GB"/>
        </w:rPr>
        <w:t xml:space="preserve">Together with PwC, ABBL published a </w:t>
      </w:r>
      <w:proofErr w:type="gramStart"/>
      <w:r w:rsidRPr="0A8C1D82">
        <w:rPr>
          <w:rFonts w:ascii="Georgia" w:eastAsia="Georgia" w:hAnsi="Georgia" w:cs="Georgia"/>
          <w:sz w:val="20"/>
          <w:szCs w:val="20"/>
          <w:lang w:val="en-GB"/>
        </w:rPr>
        <w:t>dedicated</w:t>
      </w:r>
      <w:proofErr w:type="gramEnd"/>
      <w:r w:rsidRPr="0A8C1D82">
        <w:rPr>
          <w:rFonts w:ascii="Georgia" w:eastAsia="Georgia" w:hAnsi="Georgia" w:cs="Georgia"/>
          <w:sz w:val="20"/>
          <w:szCs w:val="20"/>
          <w:lang w:val="en-GB"/>
        </w:rPr>
        <w:t xml:space="preserve"> pitchbook on the Luxembourg corporate banking sector. </w:t>
      </w:r>
    </w:p>
    <w:p w14:paraId="4DDBEF00" w14:textId="77777777" w:rsidR="003F03A1" w:rsidRDefault="003F03A1" w:rsidP="0A8C1D82">
      <w:pPr>
        <w:spacing w:line="259" w:lineRule="auto"/>
        <w:rPr>
          <w:rFonts w:ascii="Georgia" w:eastAsia="Georgia" w:hAnsi="Georgia" w:cs="Georgia"/>
          <w:sz w:val="22"/>
          <w:szCs w:val="22"/>
          <w:lang w:val="en-GB"/>
        </w:rPr>
      </w:pPr>
    </w:p>
    <w:p w14:paraId="4E15C57B" w14:textId="5FF54762" w:rsidR="159F15FA" w:rsidRDefault="159F15FA" w:rsidP="0A8C1D82">
      <w:pPr>
        <w:spacing w:line="259" w:lineRule="auto"/>
        <w:rPr>
          <w:rFonts w:ascii="Georgia" w:eastAsia="Georgia" w:hAnsi="Georgia" w:cs="Georgia"/>
          <w:sz w:val="22"/>
          <w:szCs w:val="22"/>
          <w:lang w:val="en-GB"/>
        </w:rPr>
      </w:pPr>
    </w:p>
    <w:p w14:paraId="26B7F20A" w14:textId="5D37D557" w:rsidR="7E6B3C57" w:rsidRDefault="7E6B3C57" w:rsidP="0A8C1D82">
      <w:pPr>
        <w:spacing w:line="259" w:lineRule="auto"/>
        <w:rPr>
          <w:rFonts w:ascii="Georgia" w:eastAsia="Georgia" w:hAnsi="Georgia" w:cs="Georgia"/>
          <w:b/>
          <w:bCs/>
          <w:color w:val="000000" w:themeColor="text1"/>
          <w:sz w:val="18"/>
          <w:szCs w:val="18"/>
          <w:lang w:val="en-GB"/>
        </w:rPr>
      </w:pPr>
    </w:p>
    <w:p w14:paraId="357E789B" w14:textId="78F752FB" w:rsidR="003F03A1" w:rsidRDefault="00742B55" w:rsidP="0A8C1D82">
      <w:pPr>
        <w:spacing w:line="259" w:lineRule="auto"/>
        <w:rPr>
          <w:rFonts w:ascii="Georgia" w:eastAsia="Georgia" w:hAnsi="Georgia" w:cs="Georgia"/>
          <w:b/>
          <w:bCs/>
          <w:color w:val="000000"/>
          <w:sz w:val="18"/>
          <w:szCs w:val="18"/>
          <w:lang w:val="en-GB"/>
        </w:rPr>
      </w:pPr>
      <w:r w:rsidRPr="0A8C1D82">
        <w:rPr>
          <w:rFonts w:ascii="Georgia" w:eastAsia="Georgia" w:hAnsi="Georgia" w:cs="Georgia"/>
          <w:b/>
          <w:bCs/>
          <w:color w:val="000000" w:themeColor="text1"/>
          <w:sz w:val="18"/>
          <w:szCs w:val="18"/>
          <w:lang w:val="en-GB"/>
        </w:rPr>
        <w:t>Notes to editors</w:t>
      </w:r>
    </w:p>
    <w:p w14:paraId="0FB78278" w14:textId="77777777" w:rsidR="003F03A1" w:rsidRDefault="003F03A1" w:rsidP="0A8C1D82">
      <w:pPr>
        <w:spacing w:line="276" w:lineRule="auto"/>
        <w:ind w:right="284"/>
        <w:rPr>
          <w:rFonts w:ascii="Georgia" w:eastAsia="Georgia" w:hAnsi="Georgia" w:cs="Georgia"/>
          <w:color w:val="000000"/>
          <w:sz w:val="18"/>
          <w:szCs w:val="18"/>
          <w:lang w:val="en-GB"/>
        </w:rPr>
      </w:pPr>
    </w:p>
    <w:p w14:paraId="03D98014" w14:textId="77777777" w:rsidR="003F03A1" w:rsidRDefault="6A604E66" w:rsidP="0A8C1D82">
      <w:pPr>
        <w:spacing w:line="276" w:lineRule="auto"/>
        <w:rPr>
          <w:rFonts w:ascii="Georgia" w:eastAsia="Georgia" w:hAnsi="Georgia" w:cs="Georgia"/>
          <w:b/>
          <w:bCs/>
          <w:color w:val="000000"/>
          <w:sz w:val="20"/>
          <w:szCs w:val="20"/>
          <w:u w:val="single"/>
          <w:lang w:val="en-GB"/>
        </w:rPr>
      </w:pPr>
      <w:r w:rsidRPr="0A8C1D82">
        <w:rPr>
          <w:rFonts w:ascii="Georgia" w:eastAsia="Georgia" w:hAnsi="Georgia" w:cs="Georgia"/>
          <w:b/>
          <w:bCs/>
          <w:color w:val="000000" w:themeColor="text1"/>
          <w:sz w:val="20"/>
          <w:szCs w:val="20"/>
          <w:u w:val="single"/>
          <w:lang w:val="en-GB"/>
        </w:rPr>
        <w:t>About PwC</w:t>
      </w:r>
    </w:p>
    <w:p w14:paraId="03929A30" w14:textId="54CC6D5B" w:rsidR="003F03A1" w:rsidRDefault="13009CB2" w:rsidP="6F43286E">
      <w:pPr>
        <w:spacing w:line="276" w:lineRule="auto"/>
        <w:rPr>
          <w:rFonts w:ascii="Arial" w:eastAsia="Arial" w:hAnsi="Arial" w:cs="Arial"/>
          <w:color w:val="000000" w:themeColor="text1"/>
          <w:sz w:val="20"/>
          <w:szCs w:val="20"/>
          <w:lang w:val="en-GB"/>
        </w:rPr>
      </w:pPr>
      <w:r w:rsidRPr="0A8C1D82">
        <w:rPr>
          <w:rFonts w:ascii="Arial" w:eastAsia="Arial" w:hAnsi="Arial" w:cs="Arial"/>
          <w:color w:val="000000" w:themeColor="text1"/>
          <w:sz w:val="20"/>
          <w:szCs w:val="20"/>
          <w:lang w:val="en-GB"/>
        </w:rPr>
        <w:t>PwC Luxembourg (</w:t>
      </w:r>
      <w:hyperlink r:id="rId23">
        <w:r w:rsidRPr="0A8C1D82">
          <w:rPr>
            <w:rStyle w:val="Hyperlink"/>
            <w:rFonts w:ascii="Arial" w:eastAsia="Arial" w:hAnsi="Arial" w:cs="Arial"/>
            <w:sz w:val="20"/>
            <w:szCs w:val="20"/>
            <w:lang w:val="en-GB"/>
          </w:rPr>
          <w:t>www.pwc.lu</w:t>
        </w:r>
      </w:hyperlink>
      <w:r w:rsidRPr="0A8C1D82">
        <w:rPr>
          <w:rFonts w:ascii="Arial" w:eastAsia="Arial" w:hAnsi="Arial" w:cs="Arial"/>
          <w:color w:val="000000" w:themeColor="text1"/>
          <w:sz w:val="20"/>
          <w:szCs w:val="20"/>
          <w:lang w:val="en-GB"/>
        </w:rPr>
        <w:t>) is the largest professional services firm in Luxembourg with over 3,</w:t>
      </w:r>
      <w:r w:rsidR="026D2505" w:rsidRPr="0A8C1D82">
        <w:rPr>
          <w:rFonts w:ascii="Arial" w:eastAsia="Arial" w:hAnsi="Arial" w:cs="Arial"/>
          <w:color w:val="000000" w:themeColor="text1"/>
          <w:sz w:val="20"/>
          <w:szCs w:val="20"/>
          <w:lang w:val="en-GB"/>
        </w:rPr>
        <w:t>6</w:t>
      </w:r>
      <w:r w:rsidRPr="0A8C1D82">
        <w:rPr>
          <w:rFonts w:ascii="Arial" w:eastAsia="Arial" w:hAnsi="Arial" w:cs="Arial"/>
          <w:color w:val="000000" w:themeColor="text1"/>
          <w:sz w:val="20"/>
          <w:szCs w:val="20"/>
          <w:lang w:val="en-GB"/>
        </w:rPr>
        <w:t xml:space="preserve">00 people employed from </w:t>
      </w:r>
      <w:proofErr w:type="gramStart"/>
      <w:r w:rsidRPr="0A8C1D82">
        <w:rPr>
          <w:rFonts w:ascii="Arial" w:eastAsia="Arial" w:hAnsi="Arial" w:cs="Arial"/>
          <w:color w:val="000000" w:themeColor="text1"/>
          <w:sz w:val="20"/>
          <w:szCs w:val="20"/>
          <w:lang w:val="en-GB"/>
        </w:rPr>
        <w:t>90</w:t>
      </w:r>
      <w:proofErr w:type="gramEnd"/>
      <w:r w:rsidRPr="0A8C1D82">
        <w:rPr>
          <w:rFonts w:ascii="Arial" w:eastAsia="Arial" w:hAnsi="Arial" w:cs="Arial"/>
          <w:color w:val="000000" w:themeColor="text1"/>
          <w:sz w:val="20"/>
          <w:szCs w:val="20"/>
          <w:lang w:val="en-GB"/>
        </w:rPr>
        <w:t xml:space="preserve"> different countries. PwC Luxembourg provides audit, tax and advisory services including management consulting, transaction, </w:t>
      </w:r>
      <w:r w:rsidR="48ABBA92" w:rsidRPr="0A8C1D82">
        <w:rPr>
          <w:rFonts w:ascii="Arial" w:eastAsia="Arial" w:hAnsi="Arial" w:cs="Arial"/>
          <w:color w:val="000000" w:themeColor="text1"/>
          <w:sz w:val="20"/>
          <w:szCs w:val="20"/>
          <w:lang w:val="en-GB"/>
        </w:rPr>
        <w:t>financing,</w:t>
      </w:r>
      <w:r w:rsidRPr="0A8C1D82">
        <w:rPr>
          <w:rFonts w:ascii="Arial" w:eastAsia="Arial" w:hAnsi="Arial" w:cs="Arial"/>
          <w:color w:val="000000" w:themeColor="text1"/>
          <w:sz w:val="20"/>
          <w:szCs w:val="20"/>
          <w:lang w:val="en-GB"/>
        </w:rPr>
        <w:t xml:space="preserve"> and regulatory advice. The firm provides advice to a wide variety of clients from local and middle market entrepreneurs to large multinational companies operating from Luxembourg and the Greater Region. The firm </w:t>
      </w:r>
      <w:r w:rsidR="0D4AB044" w:rsidRPr="0A8C1D82">
        <w:rPr>
          <w:rFonts w:ascii="Arial" w:eastAsia="Arial" w:hAnsi="Arial" w:cs="Arial"/>
          <w:color w:val="000000" w:themeColor="text1"/>
          <w:sz w:val="20"/>
          <w:szCs w:val="20"/>
          <w:lang w:val="en-GB"/>
        </w:rPr>
        <w:t>supports</w:t>
      </w:r>
      <w:r w:rsidRPr="0A8C1D82">
        <w:rPr>
          <w:rFonts w:ascii="Arial" w:eastAsia="Arial" w:hAnsi="Arial" w:cs="Arial"/>
          <w:color w:val="000000" w:themeColor="text1"/>
          <w:sz w:val="20"/>
          <w:szCs w:val="20"/>
          <w:lang w:val="en-GB"/>
        </w:rPr>
        <w:t xml:space="preserve"> its clients </w:t>
      </w:r>
      <w:r w:rsidR="2B82875A" w:rsidRPr="0A8C1D82">
        <w:rPr>
          <w:rFonts w:ascii="Arial" w:eastAsia="Arial" w:hAnsi="Arial" w:cs="Arial"/>
          <w:color w:val="000000" w:themeColor="text1"/>
          <w:sz w:val="20"/>
          <w:szCs w:val="20"/>
          <w:lang w:val="en-GB"/>
        </w:rPr>
        <w:t xml:space="preserve">in </w:t>
      </w:r>
      <w:r w:rsidRPr="0A8C1D82">
        <w:rPr>
          <w:rFonts w:ascii="Arial" w:eastAsia="Arial" w:hAnsi="Arial" w:cs="Arial"/>
          <w:color w:val="000000" w:themeColor="text1"/>
          <w:sz w:val="20"/>
          <w:szCs w:val="20"/>
          <w:lang w:val="en-GB"/>
        </w:rPr>
        <w:t>creat</w:t>
      </w:r>
      <w:r w:rsidR="67A10655" w:rsidRPr="0A8C1D82">
        <w:rPr>
          <w:rFonts w:ascii="Arial" w:eastAsia="Arial" w:hAnsi="Arial" w:cs="Arial"/>
          <w:color w:val="000000" w:themeColor="text1"/>
          <w:sz w:val="20"/>
          <w:szCs w:val="20"/>
          <w:lang w:val="en-GB"/>
        </w:rPr>
        <w:t>ing</w:t>
      </w:r>
      <w:r w:rsidRPr="0A8C1D82">
        <w:rPr>
          <w:rFonts w:ascii="Arial" w:eastAsia="Arial" w:hAnsi="Arial" w:cs="Arial"/>
          <w:color w:val="000000" w:themeColor="text1"/>
          <w:sz w:val="20"/>
          <w:szCs w:val="20"/>
          <w:lang w:val="en-GB"/>
        </w:rPr>
        <w:t xml:space="preserve"> the value they are looking for by contributing to the smooth operation of the capital markets and providing advice through an industry-focused approach.</w:t>
      </w:r>
    </w:p>
    <w:p w14:paraId="5A3E2664" w14:textId="0EC2BDA7" w:rsidR="003F03A1" w:rsidRDefault="003F03A1" w:rsidP="0A8C1D82">
      <w:pPr>
        <w:spacing w:line="276" w:lineRule="auto"/>
        <w:rPr>
          <w:rFonts w:ascii="Arial" w:eastAsia="Arial" w:hAnsi="Arial" w:cs="Arial"/>
          <w:color w:val="000000" w:themeColor="text1"/>
          <w:sz w:val="20"/>
          <w:szCs w:val="20"/>
          <w:lang w:val="en-GB"/>
        </w:rPr>
      </w:pPr>
    </w:p>
    <w:p w14:paraId="5D3F8A10" w14:textId="58E153C5" w:rsidR="003F03A1" w:rsidRDefault="6C9A780D" w:rsidP="0A8C1D82">
      <w:pPr>
        <w:spacing w:line="276" w:lineRule="auto"/>
        <w:rPr>
          <w:rFonts w:ascii="Georgia" w:eastAsia="Georgia" w:hAnsi="Georgia" w:cs="Georgia"/>
          <w:sz w:val="18"/>
          <w:szCs w:val="18"/>
          <w:lang w:val="en-GB"/>
        </w:rPr>
      </w:pPr>
      <w:r w:rsidRPr="5857E542">
        <w:rPr>
          <w:rFonts w:ascii="Arial" w:eastAsia="Arial" w:hAnsi="Arial" w:cs="Arial"/>
          <w:color w:val="000000" w:themeColor="text1"/>
          <w:sz w:val="20"/>
          <w:szCs w:val="20"/>
          <w:lang w:val="en-GB"/>
        </w:rPr>
        <w:t xml:space="preserve">At PwC, we help clients build trust and reinvent so they can turn complexity into competitive advantage. </w:t>
      </w:r>
      <w:bookmarkStart w:id="2" w:name="_Int_ewjYYbKc"/>
      <w:proofErr w:type="gramStart"/>
      <w:r w:rsidRPr="5857E542">
        <w:rPr>
          <w:rFonts w:ascii="Arial" w:eastAsia="Arial" w:hAnsi="Arial" w:cs="Arial"/>
          <w:color w:val="000000" w:themeColor="text1"/>
          <w:sz w:val="20"/>
          <w:szCs w:val="20"/>
          <w:lang w:val="en-GB"/>
        </w:rPr>
        <w:t>We’re</w:t>
      </w:r>
      <w:bookmarkEnd w:id="2"/>
      <w:proofErr w:type="gramEnd"/>
      <w:r w:rsidRPr="5857E542">
        <w:rPr>
          <w:rFonts w:ascii="Arial" w:eastAsia="Arial" w:hAnsi="Arial" w:cs="Arial"/>
          <w:color w:val="000000" w:themeColor="text1"/>
          <w:sz w:val="20"/>
          <w:szCs w:val="20"/>
          <w:lang w:val="en-GB"/>
        </w:rPr>
        <w:t xml:space="preserve"> a tech-forward, people-empowered network with more than 364,000 people in 136 countries and 137 territories. Across audit and assurance, tax and legal, deals and consulting, we help clients build, accelerate, and sustain momentum. Find out more at </w:t>
      </w:r>
      <w:hyperlink r:id="rId24">
        <w:r w:rsidRPr="5857E542">
          <w:rPr>
            <w:rStyle w:val="Hyperlink"/>
            <w:rFonts w:ascii="Arial" w:eastAsia="Arial" w:hAnsi="Arial" w:cs="Arial"/>
            <w:sz w:val="20"/>
            <w:szCs w:val="20"/>
            <w:lang w:val="en-GB"/>
          </w:rPr>
          <w:t>www.pwc.com</w:t>
        </w:r>
      </w:hyperlink>
      <w:r w:rsidRPr="5857E542">
        <w:rPr>
          <w:rFonts w:ascii="Arial" w:eastAsia="Arial" w:hAnsi="Arial" w:cs="Arial"/>
          <w:color w:val="000000" w:themeColor="text1"/>
          <w:sz w:val="20"/>
          <w:szCs w:val="20"/>
          <w:lang w:val="en-GB"/>
        </w:rPr>
        <w:t xml:space="preserve"> </w:t>
      </w:r>
      <w:bookmarkStart w:id="3" w:name="_Int_Eip0eN8k"/>
      <w:r w:rsidRPr="5857E542">
        <w:rPr>
          <w:rFonts w:ascii="Arial" w:eastAsia="Arial" w:hAnsi="Arial" w:cs="Arial"/>
          <w:color w:val="000000" w:themeColor="text1"/>
          <w:sz w:val="20"/>
          <w:szCs w:val="20"/>
          <w:lang w:val="en-GB"/>
        </w:rPr>
        <w:t>and</w:t>
      </w:r>
      <w:bookmarkEnd w:id="3"/>
      <w:r w:rsidRPr="5857E542">
        <w:rPr>
          <w:rFonts w:ascii="Arial" w:eastAsia="Arial" w:hAnsi="Arial" w:cs="Arial"/>
          <w:color w:val="000000" w:themeColor="text1"/>
          <w:sz w:val="20"/>
          <w:szCs w:val="20"/>
          <w:lang w:val="en-GB"/>
        </w:rPr>
        <w:t xml:space="preserve"> </w:t>
      </w:r>
      <w:hyperlink r:id="rId25">
        <w:r w:rsidRPr="5857E542">
          <w:rPr>
            <w:rStyle w:val="Hyperlink"/>
            <w:rFonts w:ascii="Arial" w:eastAsia="Arial" w:hAnsi="Arial" w:cs="Arial"/>
            <w:sz w:val="20"/>
            <w:szCs w:val="20"/>
            <w:lang w:val="en-GB"/>
          </w:rPr>
          <w:t>www.pwc.lu</w:t>
        </w:r>
      </w:hyperlink>
      <w:r w:rsidRPr="5857E542">
        <w:rPr>
          <w:rFonts w:ascii="Arial" w:eastAsia="Arial" w:hAnsi="Arial" w:cs="Arial"/>
          <w:color w:val="000000" w:themeColor="text1"/>
          <w:sz w:val="20"/>
          <w:szCs w:val="20"/>
          <w:lang w:val="en-GB"/>
        </w:rPr>
        <w:t>.   </w:t>
      </w:r>
    </w:p>
    <w:p w14:paraId="616FBD60" w14:textId="23862E26" w:rsidR="6F43286E" w:rsidRDefault="6F43286E" w:rsidP="6F43286E">
      <w:pPr>
        <w:spacing w:line="276" w:lineRule="auto"/>
        <w:rPr>
          <w:rFonts w:ascii="Arial" w:eastAsia="Arial" w:hAnsi="Arial" w:cs="Arial"/>
          <w:color w:val="000000" w:themeColor="text1"/>
          <w:sz w:val="20"/>
          <w:szCs w:val="20"/>
          <w:lang w:val="en-GB"/>
        </w:rPr>
      </w:pPr>
    </w:p>
    <w:p w14:paraId="6C3176F9" w14:textId="06A44A18" w:rsidR="13A0BB09" w:rsidRDefault="13A0BB09" w:rsidP="6F43286E">
      <w:pPr>
        <w:spacing w:before="240" w:after="240"/>
        <w:rPr>
          <w:rFonts w:ascii="Arial" w:eastAsia="Arial" w:hAnsi="Arial" w:cs="Arial"/>
          <w:color w:val="000000" w:themeColor="text1"/>
          <w:sz w:val="20"/>
          <w:szCs w:val="20"/>
          <w:lang w:val="en-GB"/>
        </w:rPr>
      </w:pPr>
      <w:hyperlink r:id="rId26">
        <w:r w:rsidRPr="0A8C1D82">
          <w:rPr>
            <w:rStyle w:val="Hyperlink"/>
            <w:rFonts w:ascii="Georgia" w:eastAsia="Georgia" w:hAnsi="Georgia" w:cs="Georgia"/>
            <w:b/>
            <w:bCs/>
            <w:sz w:val="20"/>
            <w:szCs w:val="20"/>
            <w:lang w:val="en-GB"/>
          </w:rPr>
          <w:t>About ABBL</w:t>
        </w:r>
      </w:hyperlink>
      <w:r w:rsidRPr="0A8C1D82">
        <w:rPr>
          <w:rFonts w:ascii="Georgia" w:eastAsia="Georgia" w:hAnsi="Georgia" w:cs="Georgia"/>
          <w:b/>
          <w:bCs/>
          <w:color w:val="000000" w:themeColor="text1"/>
          <w:sz w:val="20"/>
          <w:szCs w:val="20"/>
          <w:u w:val="single"/>
          <w:lang w:val="en-GB"/>
        </w:rPr>
        <w:t xml:space="preserve"> </w:t>
      </w:r>
    </w:p>
    <w:p w14:paraId="5D2DC39E" w14:textId="1DBA03DB" w:rsidR="13A0BB09" w:rsidRDefault="13A0BB09" w:rsidP="6F43286E">
      <w:pPr>
        <w:spacing w:before="240" w:after="240"/>
        <w:rPr>
          <w:rFonts w:ascii="Arial" w:eastAsia="Arial" w:hAnsi="Arial" w:cs="Arial"/>
          <w:color w:val="000000" w:themeColor="text1"/>
          <w:sz w:val="20"/>
          <w:szCs w:val="20"/>
          <w:lang w:val="en-GB"/>
        </w:rPr>
      </w:pPr>
      <w:r w:rsidRPr="5857E542">
        <w:rPr>
          <w:rFonts w:ascii="Arial" w:eastAsia="Arial" w:hAnsi="Arial" w:cs="Arial"/>
          <w:color w:val="000000" w:themeColor="text1"/>
          <w:sz w:val="20"/>
          <w:szCs w:val="20"/>
          <w:lang w:val="en-GB"/>
        </w:rPr>
        <w:t xml:space="preserve">The ABBL's mission is to promote the sustainable development of regulated, innovative, and responsible banking services. The ABBL is the largest and oldest professional association in the financial sector. It represents the banking sector in the broadest sense, i.e. </w:t>
      </w:r>
      <w:bookmarkStart w:id="4" w:name="_Int_gXybpAAM"/>
      <w:proofErr w:type="gramStart"/>
      <w:r w:rsidRPr="5857E542">
        <w:rPr>
          <w:rFonts w:ascii="Arial" w:eastAsia="Arial" w:hAnsi="Arial" w:cs="Arial"/>
          <w:color w:val="000000" w:themeColor="text1"/>
          <w:sz w:val="20"/>
          <w:szCs w:val="20"/>
          <w:lang w:val="en-GB"/>
        </w:rPr>
        <w:t>the majority of</w:t>
      </w:r>
      <w:bookmarkEnd w:id="4"/>
      <w:proofErr w:type="gramEnd"/>
      <w:r w:rsidRPr="5857E542">
        <w:rPr>
          <w:rFonts w:ascii="Arial" w:eastAsia="Arial" w:hAnsi="Arial" w:cs="Arial"/>
          <w:color w:val="000000" w:themeColor="text1"/>
          <w:sz w:val="20"/>
          <w:szCs w:val="20"/>
          <w:lang w:val="en-GB"/>
        </w:rPr>
        <w:t xml:space="preserve"> banks established in Luxembourg, as well as regulated financial intermediaries and others in the sector including law firms, consultancies, auditors, market infrastructures, e-</w:t>
      </w:r>
      <w:r w:rsidR="7E7254CC" w:rsidRPr="5857E542">
        <w:rPr>
          <w:rFonts w:ascii="Arial" w:eastAsia="Arial" w:hAnsi="Arial" w:cs="Arial"/>
          <w:color w:val="000000" w:themeColor="text1"/>
          <w:sz w:val="20"/>
          <w:szCs w:val="20"/>
          <w:lang w:val="en-GB"/>
        </w:rPr>
        <w:t>money,</w:t>
      </w:r>
      <w:r w:rsidRPr="5857E542">
        <w:rPr>
          <w:rFonts w:ascii="Arial" w:eastAsia="Arial" w:hAnsi="Arial" w:cs="Arial"/>
          <w:color w:val="000000" w:themeColor="text1"/>
          <w:sz w:val="20"/>
          <w:szCs w:val="20"/>
          <w:lang w:val="en-GB"/>
        </w:rPr>
        <w:t xml:space="preserve"> and payment institutions.</w:t>
      </w:r>
    </w:p>
    <w:p w14:paraId="6D98A12B" w14:textId="1B586EBB" w:rsidR="003F03A1" w:rsidRDefault="13A0BB09" w:rsidP="29F56C7C">
      <w:pPr>
        <w:spacing w:before="240" w:after="240"/>
        <w:rPr>
          <w:rFonts w:ascii="Arial" w:eastAsia="Arial" w:hAnsi="Arial" w:cs="Arial"/>
          <w:color w:val="000000" w:themeColor="text1"/>
          <w:sz w:val="20"/>
          <w:szCs w:val="20"/>
          <w:lang w:val="en-GB"/>
        </w:rPr>
      </w:pPr>
      <w:r w:rsidRPr="29F56C7C">
        <w:rPr>
          <w:rFonts w:ascii="Arial" w:eastAsia="Arial" w:hAnsi="Arial" w:cs="Arial"/>
          <w:color w:val="000000" w:themeColor="text1"/>
          <w:sz w:val="20"/>
          <w:szCs w:val="20"/>
          <w:lang w:val="en-GB"/>
        </w:rPr>
        <w:t>The ABBL provides its members with the information, resources, and services they need to operate in a dynamic financial market and an increasingly complex regulatory environment. It is an open platform for discussing key industry issues and developing common positions across the sector.</w:t>
      </w:r>
      <w:r w:rsidR="11659D12" w:rsidRPr="29F56C7C">
        <w:rPr>
          <w:rFonts w:ascii="Arial" w:eastAsia="Arial" w:hAnsi="Arial" w:cs="Arial"/>
          <w:color w:val="000000" w:themeColor="text1"/>
          <w:sz w:val="20"/>
          <w:szCs w:val="20"/>
          <w:lang w:val="en-GB"/>
        </w:rPr>
        <w:t xml:space="preserve"> </w:t>
      </w:r>
    </w:p>
    <w:sectPr w:rsidR="003F03A1">
      <w:headerReference w:type="default" r:id="rId27"/>
      <w:footerReference w:type="default" r:id="rId2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AD6B9" w14:textId="77777777" w:rsidR="00E5599A" w:rsidRDefault="00E5599A">
      <w:r>
        <w:separator/>
      </w:r>
    </w:p>
  </w:endnote>
  <w:endnote w:type="continuationSeparator" w:id="0">
    <w:p w14:paraId="6172DE51" w14:textId="77777777" w:rsidR="00E5599A" w:rsidRDefault="00E5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796F58C-A622-42C9-9450-EC9D4CFED918}"/>
    <w:embedBold r:id="rId2" w:fontKey="{2D112053-3AF5-4009-98FF-3B0563C7EB89}"/>
    <w:embedItalic r:id="rId3" w:fontKey="{A00078AA-12F9-4D0D-B6FC-D52112DEA50F}"/>
    <w:embedBoldItalic r:id="rId4" w:fontKey="{0E8C1C82-E7AB-4341-974B-377CFDE50F01}"/>
  </w:font>
  <w:font w:name="Arial Narrow">
    <w:panose1 w:val="020B0606020202030204"/>
    <w:charset w:val="00"/>
    <w:family w:val="swiss"/>
    <w:pitch w:val="variable"/>
    <w:sig w:usb0="00000287" w:usb1="00000800" w:usb2="00000000" w:usb3="00000000" w:csb0="0000009F" w:csb1="00000000"/>
    <w:embedBold r:id="rId5" w:fontKey="{8146D9C8-C35C-4F24-8F50-8F808510D0BC}"/>
  </w:font>
  <w:font w:name="Calibri">
    <w:panose1 w:val="020F0502020204030204"/>
    <w:charset w:val="00"/>
    <w:family w:val="swiss"/>
    <w:pitch w:val="variable"/>
    <w:sig w:usb0="E4002EFF" w:usb1="C200247B" w:usb2="00000009" w:usb3="00000000" w:csb0="000001FF" w:csb1="00000000"/>
    <w:embedRegular r:id="rId6" w:fontKey="{92412AAD-BC8C-4E7C-A3F5-18CD00D1B713}"/>
    <w:embedItalic r:id="rId7" w:fontKey="{22765AD3-D296-4071-8432-91E0C07B09C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63F1AD4B-80E5-468E-8D02-ED8C705928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F9C" w14:textId="77777777" w:rsidR="003F03A1" w:rsidRPr="00271DF2" w:rsidRDefault="00742B55">
    <w:pPr>
      <w:pBdr>
        <w:top w:val="nil"/>
        <w:left w:val="nil"/>
        <w:bottom w:val="nil"/>
        <w:right w:val="nil"/>
        <w:between w:val="nil"/>
      </w:pBdr>
      <w:rPr>
        <w:rFonts w:ascii="Georgia" w:eastAsia="Georgia" w:hAnsi="Georgia" w:cs="Georgia"/>
        <w:i/>
        <w:color w:val="000000"/>
        <w:sz w:val="16"/>
        <w:szCs w:val="16"/>
        <w:lang w:val="fr-CH"/>
      </w:rPr>
    </w:pPr>
    <w:r w:rsidRPr="00271DF2">
      <w:rPr>
        <w:rFonts w:ascii="Georgia" w:eastAsia="Georgia" w:hAnsi="Georgia" w:cs="Georgia"/>
        <w:i/>
        <w:color w:val="000000"/>
        <w:sz w:val="16"/>
        <w:szCs w:val="16"/>
        <w:lang w:val="fr-CH"/>
      </w:rPr>
      <w:t>PricewaterhouseCoopers, Société coopérative, 2, rue Gerhard Mercator B.P. 1443 L-1014 Luxembourg</w:t>
    </w:r>
  </w:p>
  <w:p w14:paraId="5AD8398B" w14:textId="77777777" w:rsidR="003F03A1" w:rsidRPr="00271DF2" w:rsidRDefault="00742B55">
    <w:pPr>
      <w:pBdr>
        <w:top w:val="nil"/>
        <w:left w:val="nil"/>
        <w:bottom w:val="nil"/>
        <w:right w:val="nil"/>
        <w:between w:val="nil"/>
      </w:pBdr>
      <w:rPr>
        <w:rFonts w:ascii="Georgia" w:eastAsia="Georgia" w:hAnsi="Georgia" w:cs="Georgia"/>
        <w:i/>
        <w:color w:val="000000"/>
        <w:sz w:val="16"/>
        <w:szCs w:val="16"/>
        <w:lang w:val="fr-CH"/>
      </w:rPr>
    </w:pPr>
    <w:r w:rsidRPr="00271DF2">
      <w:rPr>
        <w:rFonts w:ascii="Georgia" w:eastAsia="Georgia" w:hAnsi="Georgia" w:cs="Georgia"/>
        <w:i/>
        <w:color w:val="000000"/>
        <w:sz w:val="16"/>
        <w:szCs w:val="16"/>
        <w:lang w:val="fr-CH"/>
      </w:rPr>
      <w:t>T: +352 494848 1, F:+352 494848 2900, www.pwc.lu</w:t>
    </w:r>
  </w:p>
  <w:p w14:paraId="110FFD37" w14:textId="77777777" w:rsidR="003F03A1" w:rsidRPr="00271DF2" w:rsidRDefault="003F03A1">
    <w:pPr>
      <w:pBdr>
        <w:top w:val="nil"/>
        <w:left w:val="nil"/>
        <w:bottom w:val="nil"/>
        <w:right w:val="nil"/>
        <w:between w:val="nil"/>
      </w:pBdr>
      <w:tabs>
        <w:tab w:val="center" w:pos="4513"/>
        <w:tab w:val="right" w:pos="9026"/>
      </w:tabs>
      <w:rPr>
        <w:color w:val="00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FE866" w14:textId="77777777" w:rsidR="00E5599A" w:rsidRDefault="00E5599A">
      <w:r>
        <w:separator/>
      </w:r>
    </w:p>
  </w:footnote>
  <w:footnote w:type="continuationSeparator" w:id="0">
    <w:p w14:paraId="4B2DBCB7" w14:textId="77777777" w:rsidR="00E5599A" w:rsidRDefault="00E55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E7304" w14:textId="26786DAA" w:rsidR="003F03A1" w:rsidRDefault="0A8C1D82" w:rsidP="29F56C7C">
    <w:pPr>
      <w:pBdr>
        <w:top w:val="nil"/>
        <w:left w:val="nil"/>
        <w:bottom w:val="nil"/>
        <w:right w:val="nil"/>
        <w:between w:val="nil"/>
      </w:pBdr>
      <w:tabs>
        <w:tab w:val="center" w:pos="4513"/>
        <w:tab w:val="right" w:pos="9026"/>
      </w:tabs>
      <w:ind w:left="-288"/>
    </w:pPr>
    <w:r>
      <w:rPr>
        <w:noProof/>
      </w:rPr>
      <w:drawing>
        <wp:inline distT="0" distB="0" distL="0" distR="0" wp14:anchorId="75F982F3" wp14:editId="4293F511">
          <wp:extent cx="1090396" cy="702466"/>
          <wp:effectExtent l="0" t="0" r="0" b="0"/>
          <wp:docPr id="10423931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090396" cy="702466"/>
                  </a:xfrm>
                  <a:prstGeom prst="rect">
                    <a:avLst/>
                  </a:prstGeom>
                </pic:spPr>
              </pic:pic>
            </a:graphicData>
          </a:graphic>
        </wp:inline>
      </w:drawing>
    </w:r>
    <w:r w:rsidR="29F56C7C">
      <w:t xml:space="preserve">       </w:t>
    </w:r>
    <w:r w:rsidR="0E4C8365">
      <w:rPr>
        <w:noProof/>
      </w:rPr>
      <w:drawing>
        <wp:anchor distT="0" distB="0" distL="114300" distR="114300" simplePos="0" relativeHeight="251658240" behindDoc="0" locked="0" layoutInCell="1" allowOverlap="1" wp14:anchorId="61E0A420" wp14:editId="66D5D1A4">
          <wp:simplePos x="0" y="0"/>
          <wp:positionH relativeFrom="column">
            <wp:posOffset>4124325</wp:posOffset>
          </wp:positionH>
          <wp:positionV relativeFrom="paragraph">
            <wp:posOffset>104775</wp:posOffset>
          </wp:positionV>
          <wp:extent cx="2143125" cy="437197"/>
          <wp:effectExtent l="0" t="0" r="0" b="0"/>
          <wp:wrapNone/>
          <wp:docPr id="111305555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55550" name="Picture 1113055550"/>
                  <pic:cNvPicPr/>
                </pic:nvPicPr>
                <pic:blipFill>
                  <a:blip r:embed="rId2">
                    <a:extLst>
                      <a:ext uri="{28A0092B-C50C-407E-A947-70E740481C1C}">
                        <a14:useLocalDpi xmlns:a14="http://schemas.microsoft.com/office/drawing/2010/main"/>
                      </a:ext>
                    </a:extLst>
                  </a:blip>
                  <a:stretch>
                    <a:fillRect/>
                  </a:stretch>
                </pic:blipFill>
                <pic:spPr>
                  <a:xfrm>
                    <a:off x="0" y="0"/>
                    <a:ext cx="2143125" cy="437197"/>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mt2/VEEZ76SmQi" int2:id="0ty9ceo6">
      <int2:state int2:value="Rejected" int2:type="spell"/>
    </int2:textHash>
    <int2:textHash int2:hashCode="50i91IToMMhxiY" int2:id="RLkyvj8M">
      <int2:state int2:value="Rejected" int2:type="spell"/>
    </int2:textHash>
    <int2:textHash int2:hashCode="Bpk0nG2fazTxdu" int2:id="LGs0vxle">
      <int2:state int2:value="Rejected" int2:type="spell"/>
    </int2:textHash>
    <int2:textHash int2:hashCode="jRfDQjSaS/OvS3" int2:id="OPvxVrP1">
      <int2:state int2:value="Rejected" int2:type="spell"/>
    </int2:textHash>
    <int2:textHash int2:hashCode="wtKSqYmrO8qHMS" int2:id="qbEzAQWX">
      <int2:state int2:value="Rejected" int2:type="spell"/>
    </int2:textHash>
    <int2:bookmark int2:bookmarkName="_Int_ewjYYbKc" int2:invalidationBookmarkName="" int2:hashCode="Q4d97gceSOj4ft" int2:id="OZA3DDbO">
      <int2:state int2:value="Rejected" int2:type="style"/>
    </int2:bookmark>
    <int2:bookmark int2:bookmarkName="_Int_gXybpAAM" int2:invalidationBookmarkName="" int2:hashCode="ZD4DPyxyvbq3AT" int2:id="t0vV2FQ7">
      <int2:state int2:value="Rejected" int2:type="style"/>
    </int2:bookmark>
    <int2:bookmark int2:bookmarkName="_Int_Eip0eN8k" int2:invalidationBookmarkName="" int2:hashCode="z/pQoyyxOiQNcF" int2:id="A9LFZ4KQ">
      <int2:state int2:value="Rejected" int2:type="gram"/>
    </int2:bookmark>
    <int2:bookmark int2:bookmarkName="_Int_Tq3mcbAw" int2:invalidationBookmarkName="" int2:hashCode="JCaTk9xK+ZukUN" int2:id="qWwnYpbJ">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97A90"/>
    <w:multiLevelType w:val="hybridMultilevel"/>
    <w:tmpl w:val="FFFFFFFF"/>
    <w:lvl w:ilvl="0" w:tplc="B1162C5C">
      <w:start w:val="1"/>
      <w:numFmt w:val="bullet"/>
      <w:lvlText w:val=""/>
      <w:lvlJc w:val="left"/>
      <w:pPr>
        <w:ind w:left="720" w:hanging="360"/>
      </w:pPr>
      <w:rPr>
        <w:rFonts w:ascii="Symbol" w:hAnsi="Symbol" w:hint="default"/>
      </w:rPr>
    </w:lvl>
    <w:lvl w:ilvl="1" w:tplc="0F0CC186">
      <w:start w:val="1"/>
      <w:numFmt w:val="bullet"/>
      <w:lvlText w:val="o"/>
      <w:lvlJc w:val="left"/>
      <w:pPr>
        <w:ind w:left="1440" w:hanging="360"/>
      </w:pPr>
      <w:rPr>
        <w:rFonts w:ascii="Courier New" w:hAnsi="Courier New" w:hint="default"/>
      </w:rPr>
    </w:lvl>
    <w:lvl w:ilvl="2" w:tplc="B59A5D44">
      <w:start w:val="1"/>
      <w:numFmt w:val="bullet"/>
      <w:lvlText w:val=""/>
      <w:lvlJc w:val="left"/>
      <w:pPr>
        <w:ind w:left="2160" w:hanging="360"/>
      </w:pPr>
      <w:rPr>
        <w:rFonts w:ascii="Wingdings" w:hAnsi="Wingdings" w:hint="default"/>
      </w:rPr>
    </w:lvl>
    <w:lvl w:ilvl="3" w:tplc="8F9CF006">
      <w:start w:val="1"/>
      <w:numFmt w:val="bullet"/>
      <w:lvlText w:val=""/>
      <w:lvlJc w:val="left"/>
      <w:pPr>
        <w:ind w:left="2880" w:hanging="360"/>
      </w:pPr>
      <w:rPr>
        <w:rFonts w:ascii="Symbol" w:hAnsi="Symbol" w:hint="default"/>
      </w:rPr>
    </w:lvl>
    <w:lvl w:ilvl="4" w:tplc="B08C9660">
      <w:start w:val="1"/>
      <w:numFmt w:val="bullet"/>
      <w:lvlText w:val="o"/>
      <w:lvlJc w:val="left"/>
      <w:pPr>
        <w:ind w:left="3600" w:hanging="360"/>
      </w:pPr>
      <w:rPr>
        <w:rFonts w:ascii="Courier New" w:hAnsi="Courier New" w:hint="default"/>
      </w:rPr>
    </w:lvl>
    <w:lvl w:ilvl="5" w:tplc="70FAB1A8">
      <w:start w:val="1"/>
      <w:numFmt w:val="bullet"/>
      <w:lvlText w:val=""/>
      <w:lvlJc w:val="left"/>
      <w:pPr>
        <w:ind w:left="4320" w:hanging="360"/>
      </w:pPr>
      <w:rPr>
        <w:rFonts w:ascii="Wingdings" w:hAnsi="Wingdings" w:hint="default"/>
      </w:rPr>
    </w:lvl>
    <w:lvl w:ilvl="6" w:tplc="18E68156">
      <w:start w:val="1"/>
      <w:numFmt w:val="bullet"/>
      <w:lvlText w:val=""/>
      <w:lvlJc w:val="left"/>
      <w:pPr>
        <w:ind w:left="5040" w:hanging="360"/>
      </w:pPr>
      <w:rPr>
        <w:rFonts w:ascii="Symbol" w:hAnsi="Symbol" w:hint="default"/>
      </w:rPr>
    </w:lvl>
    <w:lvl w:ilvl="7" w:tplc="579C8F9E">
      <w:start w:val="1"/>
      <w:numFmt w:val="bullet"/>
      <w:lvlText w:val="o"/>
      <w:lvlJc w:val="left"/>
      <w:pPr>
        <w:ind w:left="5760" w:hanging="360"/>
      </w:pPr>
      <w:rPr>
        <w:rFonts w:ascii="Courier New" w:hAnsi="Courier New" w:hint="default"/>
      </w:rPr>
    </w:lvl>
    <w:lvl w:ilvl="8" w:tplc="486CE51E">
      <w:start w:val="1"/>
      <w:numFmt w:val="bullet"/>
      <w:lvlText w:val=""/>
      <w:lvlJc w:val="left"/>
      <w:pPr>
        <w:ind w:left="6480" w:hanging="360"/>
      </w:pPr>
      <w:rPr>
        <w:rFonts w:ascii="Wingdings" w:hAnsi="Wingdings" w:hint="default"/>
      </w:rPr>
    </w:lvl>
  </w:abstractNum>
  <w:abstractNum w:abstractNumId="1" w15:restartNumberingAfterBreak="0">
    <w:nsid w:val="0C3BB2C3"/>
    <w:multiLevelType w:val="hybridMultilevel"/>
    <w:tmpl w:val="FFFFFFFF"/>
    <w:lvl w:ilvl="0" w:tplc="D23861C8">
      <w:start w:val="1"/>
      <w:numFmt w:val="bullet"/>
      <w:lvlText w:val=""/>
      <w:lvlJc w:val="left"/>
      <w:pPr>
        <w:ind w:left="720" w:hanging="360"/>
      </w:pPr>
      <w:rPr>
        <w:rFonts w:ascii="Symbol" w:hAnsi="Symbol" w:hint="default"/>
      </w:rPr>
    </w:lvl>
    <w:lvl w:ilvl="1" w:tplc="AE68691C">
      <w:start w:val="1"/>
      <w:numFmt w:val="bullet"/>
      <w:lvlText w:val="o"/>
      <w:lvlJc w:val="left"/>
      <w:pPr>
        <w:ind w:left="1440" w:hanging="360"/>
      </w:pPr>
      <w:rPr>
        <w:rFonts w:ascii="Courier New" w:hAnsi="Courier New" w:hint="default"/>
      </w:rPr>
    </w:lvl>
    <w:lvl w:ilvl="2" w:tplc="F2E28E1C">
      <w:start w:val="1"/>
      <w:numFmt w:val="bullet"/>
      <w:lvlText w:val=""/>
      <w:lvlJc w:val="left"/>
      <w:pPr>
        <w:ind w:left="2160" w:hanging="360"/>
      </w:pPr>
      <w:rPr>
        <w:rFonts w:ascii="Wingdings" w:hAnsi="Wingdings" w:hint="default"/>
      </w:rPr>
    </w:lvl>
    <w:lvl w:ilvl="3" w:tplc="6456D588">
      <w:start w:val="1"/>
      <w:numFmt w:val="bullet"/>
      <w:lvlText w:val=""/>
      <w:lvlJc w:val="left"/>
      <w:pPr>
        <w:ind w:left="2880" w:hanging="360"/>
      </w:pPr>
      <w:rPr>
        <w:rFonts w:ascii="Symbol" w:hAnsi="Symbol" w:hint="default"/>
      </w:rPr>
    </w:lvl>
    <w:lvl w:ilvl="4" w:tplc="3AF6682A">
      <w:start w:val="1"/>
      <w:numFmt w:val="bullet"/>
      <w:lvlText w:val="o"/>
      <w:lvlJc w:val="left"/>
      <w:pPr>
        <w:ind w:left="3600" w:hanging="360"/>
      </w:pPr>
      <w:rPr>
        <w:rFonts w:ascii="Courier New" w:hAnsi="Courier New" w:hint="default"/>
      </w:rPr>
    </w:lvl>
    <w:lvl w:ilvl="5" w:tplc="734A682E">
      <w:start w:val="1"/>
      <w:numFmt w:val="bullet"/>
      <w:lvlText w:val=""/>
      <w:lvlJc w:val="left"/>
      <w:pPr>
        <w:ind w:left="4320" w:hanging="360"/>
      </w:pPr>
      <w:rPr>
        <w:rFonts w:ascii="Wingdings" w:hAnsi="Wingdings" w:hint="default"/>
      </w:rPr>
    </w:lvl>
    <w:lvl w:ilvl="6" w:tplc="3D1A6D38">
      <w:start w:val="1"/>
      <w:numFmt w:val="bullet"/>
      <w:lvlText w:val=""/>
      <w:lvlJc w:val="left"/>
      <w:pPr>
        <w:ind w:left="5040" w:hanging="360"/>
      </w:pPr>
      <w:rPr>
        <w:rFonts w:ascii="Symbol" w:hAnsi="Symbol" w:hint="default"/>
      </w:rPr>
    </w:lvl>
    <w:lvl w:ilvl="7" w:tplc="7FC65A80">
      <w:start w:val="1"/>
      <w:numFmt w:val="bullet"/>
      <w:lvlText w:val="o"/>
      <w:lvlJc w:val="left"/>
      <w:pPr>
        <w:ind w:left="5760" w:hanging="360"/>
      </w:pPr>
      <w:rPr>
        <w:rFonts w:ascii="Courier New" w:hAnsi="Courier New" w:hint="default"/>
      </w:rPr>
    </w:lvl>
    <w:lvl w:ilvl="8" w:tplc="6A4A0F8A">
      <w:start w:val="1"/>
      <w:numFmt w:val="bullet"/>
      <w:lvlText w:val=""/>
      <w:lvlJc w:val="left"/>
      <w:pPr>
        <w:ind w:left="6480" w:hanging="360"/>
      </w:pPr>
      <w:rPr>
        <w:rFonts w:ascii="Wingdings" w:hAnsi="Wingdings" w:hint="default"/>
      </w:rPr>
    </w:lvl>
  </w:abstractNum>
  <w:abstractNum w:abstractNumId="2" w15:restartNumberingAfterBreak="0">
    <w:nsid w:val="0D55B9A7"/>
    <w:multiLevelType w:val="hybridMultilevel"/>
    <w:tmpl w:val="FFFFFFFF"/>
    <w:lvl w:ilvl="0" w:tplc="6068E460">
      <w:start w:val="1"/>
      <w:numFmt w:val="bullet"/>
      <w:lvlText w:val=""/>
      <w:lvlJc w:val="left"/>
      <w:pPr>
        <w:ind w:left="720" w:hanging="360"/>
      </w:pPr>
      <w:rPr>
        <w:rFonts w:ascii="Symbol" w:hAnsi="Symbol" w:hint="default"/>
      </w:rPr>
    </w:lvl>
    <w:lvl w:ilvl="1" w:tplc="E398F2B0">
      <w:start w:val="1"/>
      <w:numFmt w:val="bullet"/>
      <w:lvlText w:val="o"/>
      <w:lvlJc w:val="left"/>
      <w:pPr>
        <w:ind w:left="1440" w:hanging="360"/>
      </w:pPr>
      <w:rPr>
        <w:rFonts w:ascii="Courier New" w:hAnsi="Courier New" w:hint="default"/>
      </w:rPr>
    </w:lvl>
    <w:lvl w:ilvl="2" w:tplc="F1D87454">
      <w:start w:val="1"/>
      <w:numFmt w:val="bullet"/>
      <w:lvlText w:val=""/>
      <w:lvlJc w:val="left"/>
      <w:pPr>
        <w:ind w:left="2160" w:hanging="360"/>
      </w:pPr>
      <w:rPr>
        <w:rFonts w:ascii="Wingdings" w:hAnsi="Wingdings" w:hint="default"/>
      </w:rPr>
    </w:lvl>
    <w:lvl w:ilvl="3" w:tplc="249AA8DC">
      <w:start w:val="1"/>
      <w:numFmt w:val="bullet"/>
      <w:lvlText w:val=""/>
      <w:lvlJc w:val="left"/>
      <w:pPr>
        <w:ind w:left="2880" w:hanging="360"/>
      </w:pPr>
      <w:rPr>
        <w:rFonts w:ascii="Symbol" w:hAnsi="Symbol" w:hint="default"/>
      </w:rPr>
    </w:lvl>
    <w:lvl w:ilvl="4" w:tplc="B524957E">
      <w:start w:val="1"/>
      <w:numFmt w:val="bullet"/>
      <w:lvlText w:val="o"/>
      <w:lvlJc w:val="left"/>
      <w:pPr>
        <w:ind w:left="3600" w:hanging="360"/>
      </w:pPr>
      <w:rPr>
        <w:rFonts w:ascii="Courier New" w:hAnsi="Courier New" w:hint="default"/>
      </w:rPr>
    </w:lvl>
    <w:lvl w:ilvl="5" w:tplc="7E3415C0">
      <w:start w:val="1"/>
      <w:numFmt w:val="bullet"/>
      <w:lvlText w:val=""/>
      <w:lvlJc w:val="left"/>
      <w:pPr>
        <w:ind w:left="4320" w:hanging="360"/>
      </w:pPr>
      <w:rPr>
        <w:rFonts w:ascii="Wingdings" w:hAnsi="Wingdings" w:hint="default"/>
      </w:rPr>
    </w:lvl>
    <w:lvl w:ilvl="6" w:tplc="B85E663A">
      <w:start w:val="1"/>
      <w:numFmt w:val="bullet"/>
      <w:lvlText w:val=""/>
      <w:lvlJc w:val="left"/>
      <w:pPr>
        <w:ind w:left="5040" w:hanging="360"/>
      </w:pPr>
      <w:rPr>
        <w:rFonts w:ascii="Symbol" w:hAnsi="Symbol" w:hint="default"/>
      </w:rPr>
    </w:lvl>
    <w:lvl w:ilvl="7" w:tplc="3BFED150">
      <w:start w:val="1"/>
      <w:numFmt w:val="bullet"/>
      <w:lvlText w:val="o"/>
      <w:lvlJc w:val="left"/>
      <w:pPr>
        <w:ind w:left="5760" w:hanging="360"/>
      </w:pPr>
      <w:rPr>
        <w:rFonts w:ascii="Courier New" w:hAnsi="Courier New" w:hint="default"/>
      </w:rPr>
    </w:lvl>
    <w:lvl w:ilvl="8" w:tplc="86B68BC6">
      <w:start w:val="1"/>
      <w:numFmt w:val="bullet"/>
      <w:lvlText w:val=""/>
      <w:lvlJc w:val="left"/>
      <w:pPr>
        <w:ind w:left="6480" w:hanging="360"/>
      </w:pPr>
      <w:rPr>
        <w:rFonts w:ascii="Wingdings" w:hAnsi="Wingdings" w:hint="default"/>
      </w:rPr>
    </w:lvl>
  </w:abstractNum>
  <w:abstractNum w:abstractNumId="3"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0910810">
    <w:abstractNumId w:val="2"/>
  </w:num>
  <w:num w:numId="2" w16cid:durableId="808474323">
    <w:abstractNumId w:val="1"/>
  </w:num>
  <w:num w:numId="3" w16cid:durableId="370155509">
    <w:abstractNumId w:val="0"/>
  </w:num>
  <w:num w:numId="4" w16cid:durableId="1758482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3080F"/>
    <w:rsid w:val="00050EC9"/>
    <w:rsid w:val="00094DF1"/>
    <w:rsid w:val="00097ED6"/>
    <w:rsid w:val="001458F6"/>
    <w:rsid w:val="00163814"/>
    <w:rsid w:val="00271DF2"/>
    <w:rsid w:val="00333328"/>
    <w:rsid w:val="003C3CA4"/>
    <w:rsid w:val="003D4F8E"/>
    <w:rsid w:val="003F03A1"/>
    <w:rsid w:val="00474C3D"/>
    <w:rsid w:val="00493CCF"/>
    <w:rsid w:val="004D32D8"/>
    <w:rsid w:val="00502FA1"/>
    <w:rsid w:val="005D00FC"/>
    <w:rsid w:val="00661B26"/>
    <w:rsid w:val="00693090"/>
    <w:rsid w:val="006E562E"/>
    <w:rsid w:val="00742B55"/>
    <w:rsid w:val="007430A9"/>
    <w:rsid w:val="0093734B"/>
    <w:rsid w:val="00955CCA"/>
    <w:rsid w:val="00A1527C"/>
    <w:rsid w:val="00AF045A"/>
    <w:rsid w:val="00B007D1"/>
    <w:rsid w:val="00B456AC"/>
    <w:rsid w:val="00B45A41"/>
    <w:rsid w:val="00B60BB9"/>
    <w:rsid w:val="00B64D5D"/>
    <w:rsid w:val="00B97F9B"/>
    <w:rsid w:val="00BE1588"/>
    <w:rsid w:val="00BE5DE8"/>
    <w:rsid w:val="00BE6C23"/>
    <w:rsid w:val="00C36E06"/>
    <w:rsid w:val="00CF022D"/>
    <w:rsid w:val="00D23CD7"/>
    <w:rsid w:val="00D37162"/>
    <w:rsid w:val="00D46260"/>
    <w:rsid w:val="00E07D27"/>
    <w:rsid w:val="00E318F8"/>
    <w:rsid w:val="00E525FA"/>
    <w:rsid w:val="00E5599A"/>
    <w:rsid w:val="00E630ED"/>
    <w:rsid w:val="00EB5F18"/>
    <w:rsid w:val="00F06851"/>
    <w:rsid w:val="00F14FC0"/>
    <w:rsid w:val="00F349E4"/>
    <w:rsid w:val="00F50759"/>
    <w:rsid w:val="00F529C1"/>
    <w:rsid w:val="00F775F8"/>
    <w:rsid w:val="00FB0D56"/>
    <w:rsid w:val="00FD24C9"/>
    <w:rsid w:val="01780A46"/>
    <w:rsid w:val="01DAD00A"/>
    <w:rsid w:val="026D2505"/>
    <w:rsid w:val="0347BA77"/>
    <w:rsid w:val="0356B9C1"/>
    <w:rsid w:val="0366A188"/>
    <w:rsid w:val="0544A221"/>
    <w:rsid w:val="058D0991"/>
    <w:rsid w:val="08058B76"/>
    <w:rsid w:val="085B3108"/>
    <w:rsid w:val="08F89271"/>
    <w:rsid w:val="0A391874"/>
    <w:rsid w:val="0A8C1D82"/>
    <w:rsid w:val="0C429265"/>
    <w:rsid w:val="0C5ECA97"/>
    <w:rsid w:val="0C7507EF"/>
    <w:rsid w:val="0CD4BD69"/>
    <w:rsid w:val="0D4AB044"/>
    <w:rsid w:val="0D4EF345"/>
    <w:rsid w:val="0D99F751"/>
    <w:rsid w:val="0E4C8365"/>
    <w:rsid w:val="0F7A157A"/>
    <w:rsid w:val="105D9DEF"/>
    <w:rsid w:val="1067EBA1"/>
    <w:rsid w:val="10F136A4"/>
    <w:rsid w:val="11427834"/>
    <w:rsid w:val="11659D12"/>
    <w:rsid w:val="11B1BD59"/>
    <w:rsid w:val="13009CB2"/>
    <w:rsid w:val="13A0BB09"/>
    <w:rsid w:val="159F15FA"/>
    <w:rsid w:val="15D300BA"/>
    <w:rsid w:val="15E34B5D"/>
    <w:rsid w:val="17127C6B"/>
    <w:rsid w:val="196D42D0"/>
    <w:rsid w:val="1C20C5F6"/>
    <w:rsid w:val="1D1AF3D6"/>
    <w:rsid w:val="1D2282D3"/>
    <w:rsid w:val="1D546895"/>
    <w:rsid w:val="1D74463A"/>
    <w:rsid w:val="1DA33C1E"/>
    <w:rsid w:val="1DCF107A"/>
    <w:rsid w:val="1E024CE3"/>
    <w:rsid w:val="1E411D32"/>
    <w:rsid w:val="1E4D2A0A"/>
    <w:rsid w:val="1E9BD83E"/>
    <w:rsid w:val="1F9DDCA6"/>
    <w:rsid w:val="1FBA9616"/>
    <w:rsid w:val="2012384D"/>
    <w:rsid w:val="20829E20"/>
    <w:rsid w:val="20DADA1C"/>
    <w:rsid w:val="21093005"/>
    <w:rsid w:val="22631693"/>
    <w:rsid w:val="22B41D6A"/>
    <w:rsid w:val="23D93BE7"/>
    <w:rsid w:val="24AC5A30"/>
    <w:rsid w:val="2524E51E"/>
    <w:rsid w:val="2535511F"/>
    <w:rsid w:val="25EFBC2F"/>
    <w:rsid w:val="26341ECB"/>
    <w:rsid w:val="266076CA"/>
    <w:rsid w:val="273F6F05"/>
    <w:rsid w:val="274BB3C2"/>
    <w:rsid w:val="27F52ED9"/>
    <w:rsid w:val="297AF389"/>
    <w:rsid w:val="299668A1"/>
    <w:rsid w:val="29CB91B6"/>
    <w:rsid w:val="29F56C7C"/>
    <w:rsid w:val="2A747439"/>
    <w:rsid w:val="2B82875A"/>
    <w:rsid w:val="2BA6FE25"/>
    <w:rsid w:val="2BD07084"/>
    <w:rsid w:val="2C7F0AF8"/>
    <w:rsid w:val="2CF6646A"/>
    <w:rsid w:val="2DEFC3C2"/>
    <w:rsid w:val="2E6C1E25"/>
    <w:rsid w:val="2EE0B804"/>
    <w:rsid w:val="2F0ACD52"/>
    <w:rsid w:val="2FC2B98C"/>
    <w:rsid w:val="2FD0B678"/>
    <w:rsid w:val="301E352D"/>
    <w:rsid w:val="30BA6046"/>
    <w:rsid w:val="31B626CD"/>
    <w:rsid w:val="3359D02F"/>
    <w:rsid w:val="33D32BD2"/>
    <w:rsid w:val="34F8DEF8"/>
    <w:rsid w:val="37077D59"/>
    <w:rsid w:val="3733BD27"/>
    <w:rsid w:val="38734761"/>
    <w:rsid w:val="389CBC35"/>
    <w:rsid w:val="3A6202E0"/>
    <w:rsid w:val="3A83C7B3"/>
    <w:rsid w:val="3B93F1C3"/>
    <w:rsid w:val="3D227DC3"/>
    <w:rsid w:val="3DC619A8"/>
    <w:rsid w:val="3EED99B7"/>
    <w:rsid w:val="3F1D36CF"/>
    <w:rsid w:val="3FA98177"/>
    <w:rsid w:val="414A39EA"/>
    <w:rsid w:val="42236AEA"/>
    <w:rsid w:val="42641684"/>
    <w:rsid w:val="4269AE66"/>
    <w:rsid w:val="42911C05"/>
    <w:rsid w:val="43D53A83"/>
    <w:rsid w:val="445FE771"/>
    <w:rsid w:val="4484AFD3"/>
    <w:rsid w:val="44F62F09"/>
    <w:rsid w:val="45847945"/>
    <w:rsid w:val="45F8B9E1"/>
    <w:rsid w:val="460E0332"/>
    <w:rsid w:val="464B7DB3"/>
    <w:rsid w:val="46B346FA"/>
    <w:rsid w:val="47246435"/>
    <w:rsid w:val="47425884"/>
    <w:rsid w:val="47945DF2"/>
    <w:rsid w:val="47C32168"/>
    <w:rsid w:val="48ABBA92"/>
    <w:rsid w:val="49769E69"/>
    <w:rsid w:val="49FB3F4A"/>
    <w:rsid w:val="49FF4FF2"/>
    <w:rsid w:val="4A7BADF6"/>
    <w:rsid w:val="4A886747"/>
    <w:rsid w:val="4B870046"/>
    <w:rsid w:val="4C018EAF"/>
    <w:rsid w:val="4C3115B9"/>
    <w:rsid w:val="4CEA239F"/>
    <w:rsid w:val="4D090435"/>
    <w:rsid w:val="4E38EFA6"/>
    <w:rsid w:val="4E59EBA5"/>
    <w:rsid w:val="4F619A34"/>
    <w:rsid w:val="504EDBD1"/>
    <w:rsid w:val="506F323B"/>
    <w:rsid w:val="50889098"/>
    <w:rsid w:val="515CFD00"/>
    <w:rsid w:val="516A79C5"/>
    <w:rsid w:val="548357A2"/>
    <w:rsid w:val="551847BF"/>
    <w:rsid w:val="553C24E8"/>
    <w:rsid w:val="5551E895"/>
    <w:rsid w:val="555B2189"/>
    <w:rsid w:val="55676AC5"/>
    <w:rsid w:val="55730C45"/>
    <w:rsid w:val="5585A613"/>
    <w:rsid w:val="57860B4D"/>
    <w:rsid w:val="57A78436"/>
    <w:rsid w:val="5857E542"/>
    <w:rsid w:val="58EE64D7"/>
    <w:rsid w:val="590EF0D0"/>
    <w:rsid w:val="597F949C"/>
    <w:rsid w:val="59F5E526"/>
    <w:rsid w:val="5A7A14B6"/>
    <w:rsid w:val="5A90AC2D"/>
    <w:rsid w:val="5B9F3ED4"/>
    <w:rsid w:val="5BBA396F"/>
    <w:rsid w:val="5BE403C3"/>
    <w:rsid w:val="5DEEF816"/>
    <w:rsid w:val="5E0DBA33"/>
    <w:rsid w:val="605C1C6B"/>
    <w:rsid w:val="616708A8"/>
    <w:rsid w:val="6296A7C4"/>
    <w:rsid w:val="65B52745"/>
    <w:rsid w:val="674880AD"/>
    <w:rsid w:val="67825A3F"/>
    <w:rsid w:val="67A10655"/>
    <w:rsid w:val="680E440E"/>
    <w:rsid w:val="695D1F89"/>
    <w:rsid w:val="6A604E66"/>
    <w:rsid w:val="6AB1858B"/>
    <w:rsid w:val="6B53CF90"/>
    <w:rsid w:val="6BD14519"/>
    <w:rsid w:val="6C9A780D"/>
    <w:rsid w:val="6DC28922"/>
    <w:rsid w:val="6E1B51D6"/>
    <w:rsid w:val="6EC5E7B7"/>
    <w:rsid w:val="6F43286E"/>
    <w:rsid w:val="6F6B9BD3"/>
    <w:rsid w:val="6FA72073"/>
    <w:rsid w:val="6FBC14F8"/>
    <w:rsid w:val="704C9E07"/>
    <w:rsid w:val="717B859E"/>
    <w:rsid w:val="71A9C431"/>
    <w:rsid w:val="71C3801F"/>
    <w:rsid w:val="72DF04CD"/>
    <w:rsid w:val="72FB3CAE"/>
    <w:rsid w:val="741A6C5A"/>
    <w:rsid w:val="75840DA6"/>
    <w:rsid w:val="7623DF59"/>
    <w:rsid w:val="76692CFA"/>
    <w:rsid w:val="7779ED1C"/>
    <w:rsid w:val="792173A3"/>
    <w:rsid w:val="79301BE1"/>
    <w:rsid w:val="79361CF1"/>
    <w:rsid w:val="7AAB07B8"/>
    <w:rsid w:val="7B168051"/>
    <w:rsid w:val="7CDD4F9C"/>
    <w:rsid w:val="7D577186"/>
    <w:rsid w:val="7D645284"/>
    <w:rsid w:val="7E6B3C57"/>
    <w:rsid w:val="7E7254CC"/>
    <w:rsid w:val="7F265416"/>
    <w:rsid w:val="7FB1F045"/>
    <w:rsid w:val="7FB78C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3BC84"/>
  <w15:docId w15:val="{DDC6B3CD-71DE-4743-A4CE-57E48E8EB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6F43286E"/>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unhideWhenUsed/>
    <w:rsid w:val="003D4F8E"/>
    <w:pPr>
      <w:tabs>
        <w:tab w:val="center" w:pos="4513"/>
        <w:tab w:val="right" w:pos="9026"/>
      </w:tabs>
    </w:pPr>
  </w:style>
  <w:style w:type="character" w:customStyle="1" w:styleId="HeaderChar">
    <w:name w:val="Header Char"/>
    <w:basedOn w:val="DefaultParagraphFont"/>
    <w:link w:val="Header"/>
    <w:uiPriority w:val="99"/>
    <w:semiHidden/>
    <w:rsid w:val="003D4F8E"/>
  </w:style>
  <w:style w:type="paragraph" w:styleId="Footer">
    <w:name w:val="footer"/>
    <w:basedOn w:val="Normal"/>
    <w:link w:val="FooterChar"/>
    <w:uiPriority w:val="99"/>
    <w:semiHidden/>
    <w:unhideWhenUsed/>
    <w:rsid w:val="003D4F8E"/>
    <w:pPr>
      <w:tabs>
        <w:tab w:val="center" w:pos="4513"/>
        <w:tab w:val="right" w:pos="9026"/>
      </w:tabs>
    </w:pPr>
  </w:style>
  <w:style w:type="character" w:customStyle="1" w:styleId="FooterChar">
    <w:name w:val="Footer Char"/>
    <w:basedOn w:val="DefaultParagraphFont"/>
    <w:link w:val="Footer"/>
    <w:uiPriority w:val="99"/>
    <w:semiHidden/>
    <w:rsid w:val="003D4F8E"/>
  </w:style>
  <w:style w:type="paragraph" w:styleId="Revision">
    <w:name w:val="Revision"/>
    <w:hidden/>
    <w:uiPriority w:val="99"/>
    <w:semiHidden/>
    <w:rsid w:val="00D37162"/>
  </w:style>
  <w:style w:type="character" w:styleId="UnresolvedMention">
    <w:name w:val="Unresolved Mention"/>
    <w:basedOn w:val="DefaultParagraphFont"/>
    <w:uiPriority w:val="99"/>
    <w:semiHidden/>
    <w:unhideWhenUsed/>
    <w:rsid w:val="00D37162"/>
    <w:rPr>
      <w:color w:val="605E5C"/>
      <w:shd w:val="clear" w:color="auto" w:fill="E1DFDD"/>
    </w:rPr>
  </w:style>
  <w:style w:type="character" w:styleId="FollowedHyperlink">
    <w:name w:val="FollowedHyperlink"/>
    <w:basedOn w:val="DefaultParagraphFont"/>
    <w:uiPriority w:val="99"/>
    <w:semiHidden/>
    <w:unhideWhenUsed/>
    <w:rsid w:val="00955CCA"/>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97F9B"/>
    <w:rPr>
      <w:b/>
      <w:bCs/>
    </w:rPr>
  </w:style>
  <w:style w:type="character" w:customStyle="1" w:styleId="CommentSubjectChar">
    <w:name w:val="Comment Subject Char"/>
    <w:basedOn w:val="CommentTextChar"/>
    <w:link w:val="CommentSubject"/>
    <w:uiPriority w:val="99"/>
    <w:semiHidden/>
    <w:rsid w:val="00B97F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773391">
      <w:bodyDiv w:val="1"/>
      <w:marLeft w:val="0"/>
      <w:marRight w:val="0"/>
      <w:marTop w:val="0"/>
      <w:marBottom w:val="0"/>
      <w:divBdr>
        <w:top w:val="none" w:sz="0" w:space="0" w:color="auto"/>
        <w:left w:val="none" w:sz="0" w:space="0" w:color="auto"/>
        <w:bottom w:val="none" w:sz="0" w:space="0" w:color="auto"/>
        <w:right w:val="none" w:sz="0" w:space="0" w:color="auto"/>
      </w:divBdr>
      <w:divsChild>
        <w:div w:id="560940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9796968">
              <w:marLeft w:val="0"/>
              <w:marRight w:val="0"/>
              <w:marTop w:val="0"/>
              <w:marBottom w:val="0"/>
              <w:divBdr>
                <w:top w:val="none" w:sz="0" w:space="0" w:color="auto"/>
                <w:left w:val="none" w:sz="0" w:space="0" w:color="auto"/>
                <w:bottom w:val="none" w:sz="0" w:space="0" w:color="auto"/>
                <w:right w:val="none" w:sz="0" w:space="0" w:color="auto"/>
              </w:divBdr>
              <w:divsChild>
                <w:div w:id="1522740381">
                  <w:marLeft w:val="0"/>
                  <w:marRight w:val="0"/>
                  <w:marTop w:val="0"/>
                  <w:marBottom w:val="0"/>
                  <w:divBdr>
                    <w:top w:val="none" w:sz="0" w:space="0" w:color="auto"/>
                    <w:left w:val="none" w:sz="0" w:space="0" w:color="auto"/>
                    <w:bottom w:val="none" w:sz="0" w:space="0" w:color="auto"/>
                    <w:right w:val="none" w:sz="0" w:space="0" w:color="auto"/>
                  </w:divBdr>
                  <w:divsChild>
                    <w:div w:id="545678459">
                      <w:marLeft w:val="0"/>
                      <w:marRight w:val="0"/>
                      <w:marTop w:val="0"/>
                      <w:marBottom w:val="0"/>
                      <w:divBdr>
                        <w:top w:val="none" w:sz="0" w:space="0" w:color="auto"/>
                        <w:left w:val="none" w:sz="0" w:space="0" w:color="auto"/>
                        <w:bottom w:val="none" w:sz="0" w:space="0" w:color="auto"/>
                        <w:right w:val="none" w:sz="0" w:space="0" w:color="auto"/>
                      </w:divBdr>
                      <w:divsChild>
                        <w:div w:id="119603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3410205">
                              <w:marLeft w:val="0"/>
                              <w:marRight w:val="0"/>
                              <w:marTop w:val="0"/>
                              <w:marBottom w:val="0"/>
                              <w:divBdr>
                                <w:top w:val="none" w:sz="0" w:space="0" w:color="auto"/>
                                <w:left w:val="none" w:sz="0" w:space="0" w:color="auto"/>
                                <w:bottom w:val="none" w:sz="0" w:space="0" w:color="auto"/>
                                <w:right w:val="none" w:sz="0" w:space="0" w:color="auto"/>
                              </w:divBdr>
                              <w:divsChild>
                                <w:div w:id="148179705">
                                  <w:marLeft w:val="0"/>
                                  <w:marRight w:val="0"/>
                                  <w:marTop w:val="0"/>
                                  <w:marBottom w:val="0"/>
                                  <w:divBdr>
                                    <w:top w:val="none" w:sz="0" w:space="0" w:color="auto"/>
                                    <w:left w:val="none" w:sz="0" w:space="0" w:color="auto"/>
                                    <w:bottom w:val="none" w:sz="0" w:space="0" w:color="auto"/>
                                    <w:right w:val="none" w:sz="0" w:space="0" w:color="auto"/>
                                  </w:divBdr>
                                  <w:divsChild>
                                    <w:div w:id="291984884">
                                      <w:marLeft w:val="0"/>
                                      <w:marRight w:val="0"/>
                                      <w:marTop w:val="0"/>
                                      <w:marBottom w:val="0"/>
                                      <w:divBdr>
                                        <w:top w:val="none" w:sz="0" w:space="0" w:color="auto"/>
                                        <w:left w:val="none" w:sz="0" w:space="0" w:color="auto"/>
                                        <w:bottom w:val="none" w:sz="0" w:space="0" w:color="auto"/>
                                        <w:right w:val="none" w:sz="0" w:space="0" w:color="auto"/>
                                      </w:divBdr>
                                    </w:div>
                                  </w:divsChild>
                                </w:div>
                                <w:div w:id="1071545024">
                                  <w:marLeft w:val="0"/>
                                  <w:marRight w:val="0"/>
                                  <w:marTop w:val="0"/>
                                  <w:marBottom w:val="0"/>
                                  <w:divBdr>
                                    <w:top w:val="none" w:sz="0" w:space="0" w:color="auto"/>
                                    <w:left w:val="none" w:sz="0" w:space="0" w:color="auto"/>
                                    <w:bottom w:val="none" w:sz="0" w:space="0" w:color="auto"/>
                                    <w:right w:val="none" w:sz="0" w:space="0" w:color="auto"/>
                                  </w:divBdr>
                                  <w:divsChild>
                                    <w:div w:id="1963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0840047">
      <w:bodyDiv w:val="1"/>
      <w:marLeft w:val="0"/>
      <w:marRight w:val="0"/>
      <w:marTop w:val="0"/>
      <w:marBottom w:val="0"/>
      <w:divBdr>
        <w:top w:val="none" w:sz="0" w:space="0" w:color="auto"/>
        <w:left w:val="none" w:sz="0" w:space="0" w:color="auto"/>
        <w:bottom w:val="none" w:sz="0" w:space="0" w:color="auto"/>
        <w:right w:val="none" w:sz="0" w:space="0" w:color="auto"/>
      </w:divBdr>
      <w:divsChild>
        <w:div w:id="672605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323721">
              <w:marLeft w:val="0"/>
              <w:marRight w:val="0"/>
              <w:marTop w:val="0"/>
              <w:marBottom w:val="0"/>
              <w:divBdr>
                <w:top w:val="none" w:sz="0" w:space="0" w:color="auto"/>
                <w:left w:val="none" w:sz="0" w:space="0" w:color="auto"/>
                <w:bottom w:val="none" w:sz="0" w:space="0" w:color="auto"/>
                <w:right w:val="none" w:sz="0" w:space="0" w:color="auto"/>
              </w:divBdr>
              <w:divsChild>
                <w:div w:id="2006006590">
                  <w:marLeft w:val="0"/>
                  <w:marRight w:val="0"/>
                  <w:marTop w:val="0"/>
                  <w:marBottom w:val="0"/>
                  <w:divBdr>
                    <w:top w:val="none" w:sz="0" w:space="0" w:color="auto"/>
                    <w:left w:val="none" w:sz="0" w:space="0" w:color="auto"/>
                    <w:bottom w:val="none" w:sz="0" w:space="0" w:color="auto"/>
                    <w:right w:val="none" w:sz="0" w:space="0" w:color="auto"/>
                  </w:divBdr>
                  <w:divsChild>
                    <w:div w:id="1717003254">
                      <w:marLeft w:val="0"/>
                      <w:marRight w:val="0"/>
                      <w:marTop w:val="0"/>
                      <w:marBottom w:val="0"/>
                      <w:divBdr>
                        <w:top w:val="none" w:sz="0" w:space="0" w:color="auto"/>
                        <w:left w:val="none" w:sz="0" w:space="0" w:color="auto"/>
                        <w:bottom w:val="none" w:sz="0" w:space="0" w:color="auto"/>
                        <w:right w:val="none" w:sz="0" w:space="0" w:color="auto"/>
                      </w:divBdr>
                      <w:divsChild>
                        <w:div w:id="36938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322346">
                              <w:marLeft w:val="0"/>
                              <w:marRight w:val="0"/>
                              <w:marTop w:val="0"/>
                              <w:marBottom w:val="0"/>
                              <w:divBdr>
                                <w:top w:val="none" w:sz="0" w:space="0" w:color="auto"/>
                                <w:left w:val="none" w:sz="0" w:space="0" w:color="auto"/>
                                <w:bottom w:val="none" w:sz="0" w:space="0" w:color="auto"/>
                                <w:right w:val="none" w:sz="0" w:space="0" w:color="auto"/>
                              </w:divBdr>
                              <w:divsChild>
                                <w:div w:id="1766732442">
                                  <w:marLeft w:val="0"/>
                                  <w:marRight w:val="0"/>
                                  <w:marTop w:val="0"/>
                                  <w:marBottom w:val="0"/>
                                  <w:divBdr>
                                    <w:top w:val="none" w:sz="0" w:space="0" w:color="auto"/>
                                    <w:left w:val="none" w:sz="0" w:space="0" w:color="auto"/>
                                    <w:bottom w:val="none" w:sz="0" w:space="0" w:color="auto"/>
                                    <w:right w:val="none" w:sz="0" w:space="0" w:color="auto"/>
                                  </w:divBdr>
                                  <w:divsChild>
                                    <w:div w:id="692531476">
                                      <w:marLeft w:val="0"/>
                                      <w:marRight w:val="0"/>
                                      <w:marTop w:val="0"/>
                                      <w:marBottom w:val="0"/>
                                      <w:divBdr>
                                        <w:top w:val="none" w:sz="0" w:space="0" w:color="auto"/>
                                        <w:left w:val="none" w:sz="0" w:space="0" w:color="auto"/>
                                        <w:bottom w:val="none" w:sz="0" w:space="0" w:color="auto"/>
                                        <w:right w:val="none" w:sz="0" w:space="0" w:color="auto"/>
                                      </w:divBdr>
                                    </w:div>
                                  </w:divsChild>
                                </w:div>
                                <w:div w:id="895819622">
                                  <w:marLeft w:val="0"/>
                                  <w:marRight w:val="0"/>
                                  <w:marTop w:val="0"/>
                                  <w:marBottom w:val="0"/>
                                  <w:divBdr>
                                    <w:top w:val="none" w:sz="0" w:space="0" w:color="auto"/>
                                    <w:left w:val="none" w:sz="0" w:space="0" w:color="auto"/>
                                    <w:bottom w:val="none" w:sz="0" w:space="0" w:color="auto"/>
                                    <w:right w:val="none" w:sz="0" w:space="0" w:color="auto"/>
                                  </w:divBdr>
                                  <w:divsChild>
                                    <w:div w:id="15587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inkedin.com/company/pwc-luxembourg" TargetMode="External"/><Relationship Id="rId18" Type="http://schemas.openxmlformats.org/officeDocument/2006/relationships/hyperlink" Target="https://www.linkedin.com/in/dr-daniel-zapf-8023243/" TargetMode="External"/><Relationship Id="rId26" Type="http://schemas.openxmlformats.org/officeDocument/2006/relationships/hyperlink" Target="https://www.abbl.lu/en/home" TargetMode="External"/><Relationship Id="rId3" Type="http://schemas.openxmlformats.org/officeDocument/2006/relationships/customXml" Target="../customXml/item3.xml"/><Relationship Id="rId21" Type="http://schemas.openxmlformats.org/officeDocument/2006/relationships/hyperlink" Target="https://www.linkedin.com/in/ryan-davis-451987134/" TargetMode="External"/><Relationship Id="rId7" Type="http://schemas.openxmlformats.org/officeDocument/2006/relationships/webSettings" Target="webSettings.xml"/><Relationship Id="rId12" Type="http://schemas.openxmlformats.org/officeDocument/2006/relationships/hyperlink" Target="mailto:lu-press@pwc.lu" TargetMode="External"/><Relationship Id="rId17" Type="http://schemas.openxmlformats.org/officeDocument/2006/relationships/hyperlink" Target="https://www.pwc.lu/en/banking/corporate-and-institutional-banking-survey-2025.html" TargetMode="External"/><Relationship Id="rId25" Type="http://schemas.openxmlformats.org/officeDocument/2006/relationships/hyperlink" Target="https://www.pwc.lu/" TargetMode="External"/><Relationship Id="rId2" Type="http://schemas.openxmlformats.org/officeDocument/2006/relationships/customXml" Target="../customXml/item2.xml"/><Relationship Id="rId16" Type="http://schemas.openxmlformats.org/officeDocument/2006/relationships/hyperlink" Target="https://www.linkedin.com/company/abbl/" TargetMode="External"/><Relationship Id="rId20" Type="http://schemas.openxmlformats.org/officeDocument/2006/relationships/hyperlink" Target="https://www.linkedin.com/in/juliebatsc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y.carey@pwc.lu" TargetMode="External"/><Relationship Id="rId24" Type="http://schemas.openxmlformats.org/officeDocument/2006/relationships/hyperlink" Target="https://www.pwc.com/" TargetMode="External"/><Relationship Id="rId32" Type="http://schemas.microsoft.com/office/2020/10/relationships/intelligence" Target="intelligence2.xml"/><Relationship Id="rId5" Type="http://schemas.openxmlformats.org/officeDocument/2006/relationships/styles" Target="styles.xml"/><Relationship Id="rId15" Type="http://schemas.openxmlformats.org/officeDocument/2006/relationships/hyperlink" Target="mailto:communication@abbl.lu" TargetMode="External"/><Relationship Id="rId23" Type="http://schemas.openxmlformats.org/officeDocument/2006/relationships/hyperlink" Target="https://www.pwc.lu/" TargetMode="External"/><Relationship Id="rId28" Type="http://schemas.openxmlformats.org/officeDocument/2006/relationships/footer" Target="footer1.xml"/><Relationship Id="rId10" Type="http://schemas.openxmlformats.org/officeDocument/2006/relationships/hyperlink" Target="mailto:pauline.andre@pwc.lu" TargetMode="External"/><Relationship Id="rId19" Type="http://schemas.openxmlformats.org/officeDocument/2006/relationships/hyperlink" Target="https://www.linkedin.com/in/helenelange/" TargetMode="External"/><Relationship Id="rId31"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aul.wilwertz@abbl.lu" TargetMode="External"/><Relationship Id="rId22" Type="http://schemas.openxmlformats.org/officeDocument/2006/relationships/hyperlink" Target="https://www.pwc.lu/en/banking/corporate-and-institutional-banking-survey-2025.html"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356DF48-C79C-4AB1-9D85-3C7458B4D427}">
    <t:Anchor>
      <t:Comment id="1173679672"/>
    </t:Anchor>
    <t:History>
      <t:Event id="{A494FD3B-27BE-47A3-AE64-2BAE98423C91}" time="2025-12-05T05:31:40.704Z">
        <t:Attribution userId="S::mary.carey@pwc.lu::80514871-07ab-48fc-9b09-631120150c52" userProvider="AD" userName="Mary Carey (LU)"/>
        <t:Anchor>
          <t:Comment id="1173679672"/>
        </t:Anchor>
        <t:Create/>
      </t:Event>
      <t:Event id="{FB322C31-8EBC-4D82-AAD3-2552AF34ABEA}" time="2025-12-05T05:31:40.704Z">
        <t:Attribution userId="S::mary.carey@pwc.lu::80514871-07ab-48fc-9b09-631120150c52" userProvider="AD" userName="Mary Carey (LU)"/>
        <t:Anchor>
          <t:Comment id="1173679672"/>
        </t:Anchor>
        <t:Assign userId="S::julie.batsch@pwc.lu::6d033041-31c6-4aa1-80dd-3a7829819467" userProvider="AD" userName="Julie Batsch (LU)"/>
      </t:Event>
      <t:Event id="{EC44AC3A-3D21-4322-B455-F4F3A26B0294}" time="2025-12-05T05:31:40.704Z">
        <t:Attribution userId="S::mary.carey@pwc.lu::80514871-07ab-48fc-9b09-631120150c52" userProvider="AD" userName="Mary Carey (LU)"/>
        <t:Anchor>
          <t:Comment id="1173679672"/>
        </t:Anchor>
        <t:SetTitle title="@Julie Batsch (LU)"/>
      </t:Event>
      <t:Event id="{FBBBBA6D-7946-4FB4-A495-2F7F62ADD3F1}" time="2025-12-05T09:21:27.801Z">
        <t:Attribution userId="S::mary.carey@pwc.lu::80514871-07ab-48fc-9b09-631120150c52" userProvider="AD" userName="Mary Carey (LU)"/>
        <t:Progress percentComplete="100"/>
      </t:Event>
    </t:History>
  </t:Task>
  <t:Task id="{84C0294E-EE8B-4247-BDE3-FC1E8D01B14A}">
    <t:Anchor>
      <t:Comment id="1565695394"/>
    </t:Anchor>
    <t:History>
      <t:Event id="{AC301F93-0D2F-4357-B4B2-EB0B13E8B230}" time="2025-12-05T05:31:58.905Z">
        <t:Attribution userId="S::mary.carey@pwc.lu::80514871-07ab-48fc-9b09-631120150c52" userProvider="AD" userName="Mary Carey (LU)"/>
        <t:Anchor>
          <t:Comment id="1565695394"/>
        </t:Anchor>
        <t:Create/>
      </t:Event>
      <t:Event id="{C3DE9F99-7455-4B41-8F74-C19318DE51B0}" time="2025-12-05T05:31:58.905Z">
        <t:Attribution userId="S::mary.carey@pwc.lu::80514871-07ab-48fc-9b09-631120150c52" userProvider="AD" userName="Mary Carey (LU)"/>
        <t:Anchor>
          <t:Comment id="1565695394"/>
        </t:Anchor>
        <t:Assign userId="S::ryan.c.davis@pwc.lu::c48f4c50-5b74-42a2-ad29-46aa0d6d67f4" userProvider="AD" userName="Ryan Davis (LU)"/>
      </t:Event>
      <t:Event id="{A78D31AA-8012-4121-BB5A-D0A2FEF62966}" time="2025-12-05T05:31:58.905Z">
        <t:Attribution userId="S::mary.carey@pwc.lu::80514871-07ab-48fc-9b09-631120150c52" userProvider="AD" userName="Mary Carey (LU)"/>
        <t:Anchor>
          <t:Comment id="1565695394"/>
        </t:Anchor>
        <t:SetTitle title="@Ryan Davis (LU)"/>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04fa5abaf308d62193a3ebf2ec191b78">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f5bcfaf3b00dcbad690f099cbf0c8af"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customXml/itemProps2.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3.xml><?xml version="1.0" encoding="utf-8"?>
<ds:datastoreItem xmlns:ds="http://schemas.openxmlformats.org/officeDocument/2006/customXml" ds:itemID="{4A064BE2-1CA1-42C3-9179-B0DD38C04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1618</Words>
  <Characters>10003</Characters>
  <Application>Microsoft Office Word</Application>
  <DocSecurity>0</DocSecurity>
  <Lines>222</Lines>
  <Paragraphs>79</Paragraphs>
  <ScaleCrop>false</ScaleCrop>
  <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Wilwertz</dc:creator>
  <cp:keywords/>
  <cp:lastModifiedBy>Mary Carey (LU)</cp:lastModifiedBy>
  <cp:revision>3</cp:revision>
  <dcterms:created xsi:type="dcterms:W3CDTF">2025-12-09T16:24:00Z</dcterms:created>
  <dcterms:modified xsi:type="dcterms:W3CDTF">2025-12-09T16:25:00Z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ies>
</file>