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5D41" w14:textId="4DCDAC78" w:rsidR="007D6AF1" w:rsidRDefault="00BD6738" w:rsidP="007D6AF1">
      <w:pPr>
        <w:widowControl w:val="0"/>
        <w:overflowPunct w:val="0"/>
        <w:autoSpaceDE w:val="0"/>
        <w:autoSpaceDN w:val="0"/>
        <w:adjustRightInd w:val="0"/>
        <w:spacing w:after="0" w:line="240" w:lineRule="auto"/>
        <w:ind w:left="737" w:hanging="737"/>
        <w:jc w:val="both"/>
        <w:textAlignment w:val="baseline"/>
        <w:outlineLvl w:val="0"/>
        <w:rPr>
          <w:rFonts w:ascii="Arial" w:eastAsia="Arial" w:hAnsi="Arial" w:cs="Arial"/>
          <w:b/>
          <w:color w:val="000000"/>
          <w:kern w:val="28"/>
          <w:sz w:val="20"/>
          <w:szCs w:val="20"/>
        </w:rPr>
      </w:pPr>
      <w:r>
        <w:rPr>
          <w:rFonts w:ascii="Arial" w:eastAsia="Arial" w:hAnsi="Arial" w:cs="Arial"/>
          <w:b/>
          <w:color w:val="000000"/>
          <w:kern w:val="28"/>
          <w:sz w:val="20"/>
          <w:szCs w:val="20"/>
        </w:rPr>
        <w:t xml:space="preserve">STRICT EMBARGO – </w:t>
      </w:r>
      <w:r w:rsidR="005A2C26">
        <w:rPr>
          <w:rFonts w:ascii="Arial" w:eastAsia="Arial" w:hAnsi="Arial" w:cs="Arial"/>
          <w:b/>
          <w:color w:val="000000"/>
          <w:kern w:val="28"/>
          <w:sz w:val="20"/>
          <w:szCs w:val="20"/>
        </w:rPr>
        <w:t xml:space="preserve">NOT </w:t>
      </w:r>
      <w:r>
        <w:rPr>
          <w:rFonts w:ascii="Arial" w:eastAsia="Arial" w:hAnsi="Arial" w:cs="Arial"/>
          <w:b/>
          <w:color w:val="000000"/>
          <w:kern w:val="28"/>
          <w:sz w:val="20"/>
          <w:szCs w:val="20"/>
        </w:rPr>
        <w:t xml:space="preserve">TO BE RELEASED </w:t>
      </w:r>
      <w:r w:rsidR="005A2C26">
        <w:rPr>
          <w:rFonts w:ascii="Arial" w:eastAsia="Arial" w:hAnsi="Arial" w:cs="Arial"/>
          <w:b/>
          <w:color w:val="000000"/>
          <w:kern w:val="28"/>
          <w:sz w:val="20"/>
          <w:szCs w:val="20"/>
        </w:rPr>
        <w:t>BEFORE</w:t>
      </w:r>
      <w:r>
        <w:rPr>
          <w:rFonts w:ascii="Arial" w:eastAsia="Arial" w:hAnsi="Arial" w:cs="Arial"/>
          <w:b/>
          <w:color w:val="000000"/>
          <w:kern w:val="28"/>
          <w:sz w:val="20"/>
          <w:szCs w:val="20"/>
        </w:rPr>
        <w:t xml:space="preserve"> MONDAY 2 MARCH</w:t>
      </w:r>
    </w:p>
    <w:p w14:paraId="7BDEA404" w14:textId="77777777" w:rsidR="00BD6738" w:rsidRPr="00BD1312" w:rsidRDefault="00BD6738" w:rsidP="007D6AF1">
      <w:pPr>
        <w:widowControl w:val="0"/>
        <w:overflowPunct w:val="0"/>
        <w:autoSpaceDE w:val="0"/>
        <w:autoSpaceDN w:val="0"/>
        <w:adjustRightInd w:val="0"/>
        <w:spacing w:after="0" w:line="240" w:lineRule="auto"/>
        <w:ind w:left="737" w:hanging="737"/>
        <w:jc w:val="both"/>
        <w:textAlignment w:val="baseline"/>
        <w:outlineLvl w:val="0"/>
        <w:rPr>
          <w:rFonts w:ascii="Times New Roman" w:eastAsia="Times New Roman" w:hAnsi="Times New Roman" w:cs="Times New Roman"/>
          <w:szCs w:val="20"/>
        </w:rPr>
      </w:pPr>
    </w:p>
    <w:p w14:paraId="4B9E6792" w14:textId="454E4600" w:rsidR="007D6AF1" w:rsidRPr="005E1716" w:rsidRDefault="00BD6738" w:rsidP="007D6AF1">
      <w:pPr>
        <w:snapToGrid w:val="0"/>
        <w:spacing w:line="360" w:lineRule="auto"/>
        <w:contextualSpacing/>
        <w:rPr>
          <w:rFonts w:ascii="Cambria" w:eastAsia="Times New Roman" w:hAnsi="Cambria" w:cs="Times New Roman"/>
          <w:color w:val="0073CF"/>
          <w:sz w:val="20"/>
          <w:szCs w:val="20"/>
          <w:lang w:eastAsia="en-GB"/>
        </w:rPr>
      </w:pPr>
      <w:r>
        <w:rPr>
          <w:rFonts w:ascii="Cambria" w:eastAsia="Times New Roman" w:hAnsi="Cambria" w:cs="Times New Roman"/>
          <w:color w:val="0073CF"/>
          <w:sz w:val="20"/>
          <w:szCs w:val="20"/>
          <w:lang w:eastAsia="en-GB"/>
        </w:rPr>
        <w:t>###</w:t>
      </w:r>
    </w:p>
    <w:p w14:paraId="16F82788" w14:textId="45E1A810" w:rsidR="007D6AF1" w:rsidRPr="004A0FE6" w:rsidRDefault="007D6AF1" w:rsidP="00383349">
      <w:pPr>
        <w:snapToGrid w:val="0"/>
        <w:spacing w:line="240" w:lineRule="auto"/>
        <w:contextualSpacing/>
        <w:rPr>
          <w:rFonts w:ascii="Cambria" w:eastAsia="Times New Roman" w:hAnsi="Cambria" w:cs="Times New Roman"/>
          <w:color w:val="0073CF"/>
          <w:sz w:val="44"/>
          <w:szCs w:val="48"/>
          <w:lang w:eastAsia="en-GB"/>
        </w:rPr>
      </w:pPr>
      <w:r w:rsidRPr="00195347">
        <w:rPr>
          <w:rFonts w:ascii="Cambria" w:eastAsia="Times New Roman" w:hAnsi="Cambria" w:cs="Times New Roman"/>
          <w:color w:val="0073CF"/>
          <w:sz w:val="44"/>
          <w:szCs w:val="48"/>
          <w:lang w:eastAsia="en-GB"/>
        </w:rPr>
        <w:t>Cathrine Foldberg Møller</w:t>
      </w:r>
      <w:r>
        <w:rPr>
          <w:rFonts w:ascii="Cambria" w:eastAsia="Times New Roman" w:hAnsi="Cambria" w:cs="Times New Roman"/>
          <w:color w:val="0073CF"/>
          <w:sz w:val="44"/>
          <w:szCs w:val="48"/>
          <w:lang w:eastAsia="en-GB"/>
        </w:rPr>
        <w:t xml:space="preserve"> joins </w:t>
      </w:r>
      <w:r w:rsidRPr="004A0FE6">
        <w:rPr>
          <w:rFonts w:ascii="Cambria" w:eastAsia="Times New Roman" w:hAnsi="Cambria" w:cs="Times New Roman"/>
          <w:color w:val="0073CF"/>
          <w:sz w:val="44"/>
          <w:szCs w:val="48"/>
          <w:lang w:eastAsia="en-GB"/>
        </w:rPr>
        <w:t xml:space="preserve">DLA Piper </w:t>
      </w:r>
      <w:r>
        <w:rPr>
          <w:rFonts w:ascii="Cambria" w:eastAsia="Times New Roman" w:hAnsi="Cambria" w:cs="Times New Roman"/>
          <w:color w:val="0073CF"/>
          <w:sz w:val="44"/>
          <w:szCs w:val="48"/>
          <w:lang w:eastAsia="en-GB"/>
        </w:rPr>
        <w:t>in a strategic Financial Services hire</w:t>
      </w:r>
    </w:p>
    <w:p w14:paraId="45D949C4" w14:textId="77777777" w:rsidR="00BD6738" w:rsidRDefault="00BD6738" w:rsidP="001A0EC1">
      <w:pPr>
        <w:spacing w:after="0" w:line="240" w:lineRule="auto"/>
        <w:rPr>
          <w:rFonts w:ascii="Calibri" w:eastAsia="Calibri" w:hAnsi="Calibri" w:cs="Calibri"/>
          <w:b/>
          <w:bCs/>
          <w:highlight w:val="yellow"/>
          <w:lang w:eastAsia="en-GB"/>
        </w:rPr>
      </w:pPr>
    </w:p>
    <w:p w14:paraId="41F4881F" w14:textId="71FE89C7" w:rsidR="001A0EC1" w:rsidRPr="00B663D6" w:rsidRDefault="00BD6738" w:rsidP="001A0EC1">
      <w:pPr>
        <w:spacing w:after="0" w:line="240" w:lineRule="auto"/>
        <w:rPr>
          <w:rFonts w:ascii="Calibri" w:eastAsia="Calibri" w:hAnsi="Calibri" w:cs="Calibri"/>
          <w:b/>
          <w:bCs/>
          <w:lang w:val="en-US" w:eastAsia="en-GB"/>
        </w:rPr>
      </w:pPr>
      <w:r w:rsidRPr="000B4C6E">
        <w:rPr>
          <w:rFonts w:ascii="Calibri" w:eastAsia="Calibri" w:hAnsi="Calibri" w:cs="Calibri"/>
          <w:b/>
          <w:bCs/>
          <w:lang w:eastAsia="en-GB"/>
        </w:rPr>
        <w:t xml:space="preserve">Luxembourg, </w:t>
      </w:r>
      <w:r w:rsidR="007D6AF1" w:rsidRPr="000B4C6E">
        <w:rPr>
          <w:rFonts w:ascii="Calibri" w:eastAsia="Calibri" w:hAnsi="Calibri" w:cs="Calibri"/>
          <w:b/>
          <w:bCs/>
          <w:lang w:eastAsia="en-GB"/>
        </w:rPr>
        <w:t>2 March 2026</w:t>
      </w:r>
      <w:r w:rsidR="007D6AF1" w:rsidRPr="00B663D6">
        <w:rPr>
          <w:rFonts w:ascii="Calibri" w:eastAsia="Calibri" w:hAnsi="Calibri" w:cs="Calibri"/>
          <w:b/>
          <w:bCs/>
          <w:lang w:eastAsia="en-GB"/>
        </w:rPr>
        <w:t xml:space="preserve"> – </w:t>
      </w:r>
      <w:r w:rsidR="001A0EC1" w:rsidRPr="00B663D6">
        <w:rPr>
          <w:rFonts w:ascii="Calibri" w:eastAsia="Calibri" w:hAnsi="Calibri" w:cs="Calibri"/>
          <w:b/>
          <w:bCs/>
          <w:lang w:val="en-US" w:eastAsia="en-GB"/>
        </w:rPr>
        <w:t>Global law firm DLA Piper announces the appointment of Cathrine Foldberg Møller as a partner in its Luxembourg office, joining the firm’s Financial Services Sector.</w:t>
      </w:r>
    </w:p>
    <w:p w14:paraId="339FA575" w14:textId="77777777" w:rsidR="007D6AF1" w:rsidRDefault="007D6AF1" w:rsidP="007D6AF1">
      <w:pPr>
        <w:spacing w:after="0" w:line="240" w:lineRule="auto"/>
        <w:rPr>
          <w:rFonts w:ascii="Calibri" w:eastAsia="Calibri" w:hAnsi="Calibri" w:cs="Calibri"/>
          <w:lang w:eastAsia="en-GB"/>
        </w:rPr>
      </w:pPr>
    </w:p>
    <w:p w14:paraId="308981B4" w14:textId="7EEE9352" w:rsidR="001A5905" w:rsidRPr="00207B96" w:rsidRDefault="001A5905" w:rsidP="001A5905">
      <w:pPr>
        <w:spacing w:after="0" w:line="240" w:lineRule="auto"/>
        <w:rPr>
          <w:rFonts w:ascii="Calibri" w:eastAsia="Calibri" w:hAnsi="Calibri" w:cs="Calibri"/>
          <w:lang w:eastAsia="en-GB"/>
        </w:rPr>
      </w:pPr>
      <w:r w:rsidRPr="00207B96">
        <w:rPr>
          <w:rFonts w:ascii="Calibri" w:eastAsia="Calibri" w:hAnsi="Calibri" w:cs="Calibri"/>
          <w:lang w:eastAsia="en-GB"/>
        </w:rPr>
        <w:t xml:space="preserve">Joining the firm's Luxembourg office from Simmons &amp; Simmons, where she led the Regulatory practice, Cathrine has built a highly successful pan-European FS regulatory practice, advising a range of financial institutions, insurance companies, </w:t>
      </w:r>
      <w:proofErr w:type="spellStart"/>
      <w:r w:rsidRPr="00207B96">
        <w:rPr>
          <w:rFonts w:ascii="Calibri" w:eastAsia="Calibri" w:hAnsi="Calibri" w:cs="Calibri"/>
          <w:lang w:eastAsia="en-GB"/>
        </w:rPr>
        <w:t>fintechs</w:t>
      </w:r>
      <w:proofErr w:type="spellEnd"/>
      <w:r w:rsidRPr="00207B96">
        <w:rPr>
          <w:rFonts w:ascii="Calibri" w:eastAsia="Calibri" w:hAnsi="Calibri" w:cs="Calibri"/>
          <w:lang w:eastAsia="en-GB"/>
        </w:rPr>
        <w:t xml:space="preserve"> (including crypto-asset service providers) and other professionals of the financial sector.</w:t>
      </w:r>
    </w:p>
    <w:p w14:paraId="26419B54" w14:textId="77777777" w:rsidR="001A5905" w:rsidRPr="00207B96" w:rsidRDefault="001A5905" w:rsidP="001A5905">
      <w:pPr>
        <w:spacing w:after="0" w:line="240" w:lineRule="auto"/>
        <w:rPr>
          <w:rFonts w:ascii="Calibri" w:eastAsia="Calibri" w:hAnsi="Calibri" w:cs="Calibri"/>
          <w:lang w:eastAsia="en-GB"/>
        </w:rPr>
      </w:pPr>
    </w:p>
    <w:p w14:paraId="37760201" w14:textId="77777777" w:rsidR="00867382" w:rsidRPr="004311D8" w:rsidRDefault="000B5873" w:rsidP="00867382">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Calibri" w:eastAsia="Calibri" w:hAnsi="Calibri" w:cs="Calibri"/>
          <w:lang w:eastAsia="en-GB"/>
        </w:rPr>
      </w:pPr>
      <w:r w:rsidRPr="004311D8">
        <w:rPr>
          <w:rFonts w:ascii="Calibri" w:eastAsia="Calibri" w:hAnsi="Calibri" w:cs="Calibri"/>
          <w:lang w:eastAsia="en-GB"/>
        </w:rPr>
        <w:t xml:space="preserve">With a background as a transactional lawyer, Cathrine’s practice covers traditional banking and payment services, investment activities, product regulation and financial promotion. She advises on the full spectrum of regulatory frameworks, including </w:t>
      </w:r>
      <w:r w:rsidR="00867382" w:rsidRPr="004311D8">
        <w:rPr>
          <w:rFonts w:ascii="Calibri" w:eastAsia="Calibri" w:hAnsi="Calibri" w:cs="Calibri"/>
          <w:lang w:eastAsia="en-GB"/>
        </w:rPr>
        <w:t xml:space="preserve">MiFID, </w:t>
      </w:r>
      <w:proofErr w:type="spellStart"/>
      <w:r w:rsidR="00867382" w:rsidRPr="004311D8">
        <w:rPr>
          <w:rFonts w:ascii="Calibri" w:eastAsia="Calibri" w:hAnsi="Calibri" w:cs="Calibri"/>
          <w:lang w:eastAsia="en-GB"/>
        </w:rPr>
        <w:t>CRD6</w:t>
      </w:r>
      <w:proofErr w:type="spellEnd"/>
      <w:r w:rsidR="00867382" w:rsidRPr="004311D8">
        <w:rPr>
          <w:rFonts w:ascii="Calibri" w:eastAsia="Calibri" w:hAnsi="Calibri" w:cs="Calibri"/>
          <w:lang w:eastAsia="en-GB"/>
        </w:rPr>
        <w:t xml:space="preserve">, </w:t>
      </w:r>
      <w:proofErr w:type="spellStart"/>
      <w:r w:rsidR="00867382" w:rsidRPr="004311D8">
        <w:rPr>
          <w:rFonts w:ascii="Calibri" w:eastAsia="Calibri" w:hAnsi="Calibri" w:cs="Calibri"/>
          <w:lang w:eastAsia="en-GB"/>
        </w:rPr>
        <w:t>PSD3</w:t>
      </w:r>
      <w:proofErr w:type="spellEnd"/>
      <w:r w:rsidR="00867382" w:rsidRPr="004311D8">
        <w:rPr>
          <w:rFonts w:ascii="Calibri" w:eastAsia="Calibri" w:hAnsi="Calibri" w:cs="Calibri"/>
          <w:lang w:eastAsia="en-GB"/>
        </w:rPr>
        <w:t xml:space="preserve">, DORA, </w:t>
      </w:r>
      <w:proofErr w:type="spellStart"/>
      <w:r w:rsidR="00867382" w:rsidRPr="004311D8">
        <w:rPr>
          <w:rFonts w:ascii="Calibri" w:eastAsia="Calibri" w:hAnsi="Calibri" w:cs="Calibri"/>
          <w:lang w:eastAsia="en-GB"/>
        </w:rPr>
        <w:t>MiCA</w:t>
      </w:r>
      <w:proofErr w:type="spellEnd"/>
      <w:r w:rsidR="00867382" w:rsidRPr="004311D8">
        <w:rPr>
          <w:rFonts w:ascii="Calibri" w:eastAsia="Calibri" w:hAnsi="Calibri" w:cs="Calibri"/>
          <w:lang w:eastAsia="en-GB"/>
        </w:rPr>
        <w:t xml:space="preserve"> and tokenisation, as well as licensing and perimeter matters. She has strong relationships with local regulators and significant M&amp;A experience across the financial services industry. Closely monitoring legal and market developments, she helps clients anticipate and navigate regulatory change.</w:t>
      </w:r>
    </w:p>
    <w:p w14:paraId="52CB12B4" w14:textId="4537A932" w:rsidR="001A5905" w:rsidRPr="00867382" w:rsidRDefault="001A5905" w:rsidP="00867382">
      <w:pPr>
        <w:widowControl w:val="0"/>
        <w:pBdr>
          <w:top w:val="nil"/>
          <w:left w:val="nil"/>
          <w:bottom w:val="nil"/>
          <w:right w:val="nil"/>
          <w:between w:val="nil"/>
        </w:pBdr>
        <w:overflowPunct w:val="0"/>
        <w:autoSpaceDE w:val="0"/>
        <w:autoSpaceDN w:val="0"/>
        <w:adjustRightInd w:val="0"/>
        <w:spacing w:after="0" w:line="240" w:lineRule="auto"/>
        <w:textAlignment w:val="baseline"/>
        <w:rPr>
          <w:rFonts w:ascii="Calibri" w:eastAsia="Calibri" w:hAnsi="Calibri" w:cs="Calibri"/>
          <w:lang w:eastAsia="en-GB"/>
        </w:rPr>
      </w:pPr>
    </w:p>
    <w:p w14:paraId="34BFF32C" w14:textId="77777777" w:rsidR="007258E8" w:rsidRPr="007258E8" w:rsidRDefault="007258E8" w:rsidP="007258E8">
      <w:pPr>
        <w:spacing w:after="0" w:line="240" w:lineRule="auto"/>
        <w:rPr>
          <w:rFonts w:ascii="Calibri" w:eastAsia="Calibri" w:hAnsi="Calibri" w:cs="Calibri"/>
          <w:lang w:val="en-US" w:eastAsia="en-GB"/>
        </w:rPr>
      </w:pPr>
      <w:r w:rsidRPr="007258E8">
        <w:rPr>
          <w:rFonts w:ascii="Calibri" w:eastAsia="Calibri" w:hAnsi="Calibri" w:cs="Calibri"/>
          <w:lang w:val="en-US" w:eastAsia="en-GB"/>
        </w:rPr>
        <w:t>Cathrine’s appointment is among the latest strategic hires in DLA Piper’s Financial Services Sector, with Mark Brown also joining as a partner in London today.</w:t>
      </w:r>
    </w:p>
    <w:p w14:paraId="3616680D" w14:textId="77777777" w:rsidR="007D6AF1" w:rsidRDefault="007D6AF1" w:rsidP="007D6AF1">
      <w:pPr>
        <w:spacing w:after="0" w:line="240" w:lineRule="auto"/>
        <w:rPr>
          <w:rFonts w:ascii="Calibri" w:eastAsia="Calibri" w:hAnsi="Calibri" w:cs="Calibri"/>
          <w:highlight w:val="yellow"/>
          <w:lang w:val="en-US" w:eastAsia="en-GB"/>
        </w:rPr>
      </w:pPr>
    </w:p>
    <w:p w14:paraId="6BB9B4EA" w14:textId="77777777" w:rsidR="00AC41BA" w:rsidRPr="00207B96" w:rsidRDefault="00AC41BA" w:rsidP="00AC41BA">
      <w:pPr>
        <w:spacing w:after="0" w:line="240" w:lineRule="auto"/>
        <w:rPr>
          <w:rFonts w:ascii="Calibri" w:eastAsia="Calibri" w:hAnsi="Calibri" w:cs="Calibri"/>
          <w:lang w:eastAsia="en-GB"/>
        </w:rPr>
      </w:pPr>
      <w:r w:rsidRPr="00207B96">
        <w:rPr>
          <w:rFonts w:ascii="Calibri" w:eastAsia="Calibri" w:hAnsi="Calibri" w:cs="Calibri"/>
          <w:b/>
          <w:bCs/>
          <w:lang w:eastAsia="en-GB"/>
        </w:rPr>
        <w:t xml:space="preserve">Colin Wilson, International Group Head of DLA Piper’s Finance practice, commented: </w:t>
      </w:r>
      <w:r w:rsidRPr="00207B96">
        <w:rPr>
          <w:rFonts w:ascii="Calibri" w:eastAsia="Calibri" w:hAnsi="Calibri" w:cs="Calibri"/>
          <w:lang w:eastAsia="en-GB"/>
        </w:rPr>
        <w:t xml:space="preserve">"The appointments of Cathrine and Mark highlight our investment in key European financial hubs. Their experiences and knowledge will significantly strengthen our structured finance and Financial Services regulatory benches and come at a time where we are investing in leading talent to join the firm." </w:t>
      </w:r>
    </w:p>
    <w:p w14:paraId="6EC8AE70" w14:textId="77777777" w:rsidR="00AC41BA" w:rsidRPr="007258E8" w:rsidRDefault="00AC41BA" w:rsidP="007D6AF1">
      <w:pPr>
        <w:spacing w:after="0" w:line="240" w:lineRule="auto"/>
        <w:rPr>
          <w:rFonts w:ascii="Calibri" w:eastAsia="Calibri" w:hAnsi="Calibri" w:cs="Calibri"/>
          <w:highlight w:val="yellow"/>
          <w:lang w:val="en-US" w:eastAsia="en-GB"/>
        </w:rPr>
      </w:pPr>
    </w:p>
    <w:p w14:paraId="03274810" w14:textId="7FA27D62" w:rsidR="00A5633A" w:rsidRDefault="006A7AC3" w:rsidP="006A7AC3">
      <w:pPr>
        <w:spacing w:after="0" w:line="240" w:lineRule="auto"/>
        <w:rPr>
          <w:rFonts w:ascii="Calibri" w:eastAsia="Calibri" w:hAnsi="Calibri" w:cs="Calibri"/>
          <w:lang w:val="en-US" w:eastAsia="en-GB"/>
        </w:rPr>
      </w:pPr>
      <w:r w:rsidRPr="1B3BA4F6">
        <w:rPr>
          <w:rFonts w:ascii="Calibri" w:eastAsia="Calibri" w:hAnsi="Calibri" w:cs="Calibri"/>
          <w:b/>
          <w:bCs/>
          <w:lang w:eastAsia="en-GB"/>
        </w:rPr>
        <w:t xml:space="preserve">Xavier Guzman, Country Managing Partner, Luxembourg, DLA Piper, </w:t>
      </w:r>
      <w:r w:rsidR="002D4A14">
        <w:rPr>
          <w:rFonts w:ascii="Calibri" w:eastAsia="Calibri" w:hAnsi="Calibri" w:cs="Calibri"/>
          <w:b/>
          <w:bCs/>
          <w:lang w:eastAsia="en-GB"/>
        </w:rPr>
        <w:t>added</w:t>
      </w:r>
      <w:r w:rsidRPr="1B3BA4F6">
        <w:rPr>
          <w:rFonts w:ascii="Calibri" w:eastAsia="Calibri" w:hAnsi="Calibri" w:cs="Calibri"/>
          <w:b/>
          <w:bCs/>
          <w:lang w:eastAsia="en-GB"/>
        </w:rPr>
        <w:t xml:space="preserve">: </w:t>
      </w:r>
      <w:r w:rsidRPr="1B3BA4F6">
        <w:rPr>
          <w:rFonts w:ascii="Calibri" w:eastAsia="Calibri" w:hAnsi="Calibri" w:cs="Calibri"/>
          <w:lang w:eastAsia="en-GB"/>
        </w:rPr>
        <w:t xml:space="preserve">"Cathrine's appointment to our Luxembourg office </w:t>
      </w:r>
      <w:r w:rsidRPr="1B3BA4F6">
        <w:rPr>
          <w:rFonts w:ascii="Calibri" w:eastAsia="Calibri" w:hAnsi="Calibri" w:cs="Calibri"/>
          <w:lang w:val="en-US" w:eastAsia="en-GB"/>
        </w:rPr>
        <w:t xml:space="preserve">reinforces our ability to lead M&amp;A transactions in the financial services sector, help clients navigate today’s regulatory requirements, and structural shifts reshaping financial services. </w:t>
      </w:r>
    </w:p>
    <w:p w14:paraId="6CB7927C" w14:textId="25A02F86" w:rsidR="006A7AC3" w:rsidRDefault="006A7AC3" w:rsidP="007D6AF1">
      <w:pPr>
        <w:spacing w:after="0" w:line="240" w:lineRule="auto"/>
        <w:rPr>
          <w:rFonts w:ascii="Calibri" w:eastAsia="Calibri" w:hAnsi="Calibri" w:cs="Calibri"/>
          <w:lang w:val="en-US" w:eastAsia="en-GB"/>
        </w:rPr>
      </w:pPr>
      <w:r w:rsidRPr="1B3BA4F6">
        <w:rPr>
          <w:rFonts w:ascii="Calibri" w:eastAsia="Calibri" w:hAnsi="Calibri" w:cs="Calibri"/>
          <w:lang w:val="en-US" w:eastAsia="en-GB"/>
        </w:rPr>
        <w:t>Her strong background covers both traditional financial services regulations and emerging areas</w:t>
      </w:r>
      <w:r>
        <w:rPr>
          <w:rFonts w:ascii="Calibri" w:eastAsia="Calibri" w:hAnsi="Calibri" w:cs="Calibri"/>
          <w:lang w:val="en-US" w:eastAsia="en-GB"/>
        </w:rPr>
        <w:t>,</w:t>
      </w:r>
      <w:r w:rsidRPr="1B3BA4F6">
        <w:rPr>
          <w:rFonts w:ascii="Calibri" w:eastAsia="Calibri" w:hAnsi="Calibri" w:cs="Calibri"/>
          <w:lang w:val="en-US" w:eastAsia="en-GB"/>
        </w:rPr>
        <w:t xml:space="preserve"> including crypto-assets and stablecoins. Combined with her cross-border perspective and deep understanding of how clients operate, Cathrine brings a profile perfectly aligned with our commitment to delivering high-quality, forward-looking advice. We are delighted to welcome her to the Luxembourg partnership and the firm.”</w:t>
      </w:r>
    </w:p>
    <w:p w14:paraId="75379BD3" w14:textId="77777777" w:rsidR="006A7AC3" w:rsidRPr="00E15D10" w:rsidRDefault="006A7AC3" w:rsidP="007D6AF1">
      <w:pPr>
        <w:spacing w:after="0" w:line="240" w:lineRule="auto"/>
        <w:rPr>
          <w:rFonts w:ascii="Calibri" w:eastAsia="Calibri" w:hAnsi="Calibri" w:cs="Calibri"/>
          <w:lang w:val="en-US" w:eastAsia="en-GB"/>
        </w:rPr>
      </w:pPr>
    </w:p>
    <w:p w14:paraId="629B2618" w14:textId="77777777" w:rsidR="007D6AF1" w:rsidRPr="004A0FE6" w:rsidRDefault="007D6AF1" w:rsidP="007D6AF1">
      <w:pPr>
        <w:spacing w:after="0" w:line="240" w:lineRule="auto"/>
        <w:rPr>
          <w:rFonts w:ascii="Calibri" w:eastAsia="Calibri" w:hAnsi="Calibri" w:cs="Calibri"/>
          <w:lang w:eastAsia="en-GB"/>
        </w:rPr>
      </w:pPr>
      <w:r w:rsidRPr="004A0FE6">
        <w:rPr>
          <w:rFonts w:ascii="Calibri" w:eastAsia="Calibri" w:hAnsi="Calibri" w:cs="Calibri"/>
          <w:lang w:eastAsia="en-GB"/>
        </w:rPr>
        <w:t xml:space="preserve">In recent months, DLA Piper's International Finance practice has advised high-profile clients on matters including: </w:t>
      </w:r>
    </w:p>
    <w:p w14:paraId="75114BA5" w14:textId="77777777" w:rsidR="007D6AF1" w:rsidRPr="004A0FE6" w:rsidRDefault="007D6AF1" w:rsidP="007D6AF1">
      <w:pPr>
        <w:numPr>
          <w:ilvl w:val="0"/>
          <w:numId w:val="7"/>
        </w:numPr>
        <w:spacing w:after="0" w:line="240" w:lineRule="auto"/>
        <w:contextualSpacing/>
        <w:rPr>
          <w:rFonts w:ascii="Calibri" w:eastAsia="Calibri" w:hAnsi="Calibri" w:cs="Calibri"/>
          <w:lang w:eastAsia="en-GB"/>
        </w:rPr>
      </w:pPr>
      <w:r w:rsidRPr="004A0FE6">
        <w:rPr>
          <w:rFonts w:ascii="Calibri" w:eastAsia="Calibri" w:hAnsi="Calibri" w:cs="Calibri"/>
          <w:lang w:eastAsia="en-GB"/>
        </w:rPr>
        <w:t xml:space="preserve">Advising </w:t>
      </w:r>
      <w:hyperlink r:id="rId11" w:history="1">
        <w:r w:rsidRPr="004A0FE6">
          <w:rPr>
            <w:rFonts w:ascii="Calibri" w:eastAsia="Calibri" w:hAnsi="Calibri" w:cs="Calibri"/>
            <w:color w:val="467886" w:themeColor="hyperlink"/>
            <w:u w:val="single"/>
            <w:lang w:eastAsia="en-GB"/>
          </w:rPr>
          <w:t>Banco Santander</w:t>
        </w:r>
      </w:hyperlink>
      <w:r w:rsidRPr="004A0FE6">
        <w:rPr>
          <w:rFonts w:ascii="Calibri" w:eastAsia="Calibri" w:hAnsi="Calibri" w:cs="Calibri"/>
          <w:lang w:eastAsia="en-GB"/>
        </w:rPr>
        <w:t xml:space="preserve"> on the provision of </w:t>
      </w:r>
      <w:proofErr w:type="spellStart"/>
      <w:r w:rsidRPr="004A0FE6">
        <w:rPr>
          <w:rFonts w:ascii="Calibri" w:eastAsia="Calibri" w:hAnsi="Calibri" w:cs="Calibri"/>
          <w:lang w:eastAsia="en-GB"/>
        </w:rPr>
        <w:t>EUR1.4</w:t>
      </w:r>
      <w:proofErr w:type="spellEnd"/>
      <w:r w:rsidRPr="004A0FE6">
        <w:rPr>
          <w:rFonts w:ascii="Calibri" w:eastAsia="Calibri" w:hAnsi="Calibri" w:cs="Calibri"/>
          <w:lang w:eastAsia="en-GB"/>
        </w:rPr>
        <w:t xml:space="preserve"> billion warehouse financing facility to Klarna. </w:t>
      </w:r>
    </w:p>
    <w:p w14:paraId="338FEC7B" w14:textId="77777777" w:rsidR="007D6AF1" w:rsidRDefault="007D6AF1" w:rsidP="007D6AF1">
      <w:pPr>
        <w:numPr>
          <w:ilvl w:val="0"/>
          <w:numId w:val="7"/>
        </w:numPr>
        <w:spacing w:after="0" w:line="240" w:lineRule="auto"/>
        <w:contextualSpacing/>
        <w:rPr>
          <w:rFonts w:ascii="Calibri" w:eastAsia="Calibri" w:hAnsi="Calibri" w:cs="Calibri"/>
          <w:lang w:eastAsia="en-GB"/>
        </w:rPr>
      </w:pPr>
      <w:r w:rsidRPr="009029FB">
        <w:rPr>
          <w:rFonts w:ascii="Calibri" w:eastAsia="Calibri" w:hAnsi="Calibri" w:cs="Calibri"/>
          <w:lang w:eastAsia="en-GB"/>
        </w:rPr>
        <w:t xml:space="preserve">Advising </w:t>
      </w:r>
      <w:hyperlink r:id="rId12" w:history="1">
        <w:r w:rsidRPr="009029FB">
          <w:rPr>
            <w:rStyle w:val="Hyperlink"/>
            <w:rFonts w:ascii="Calibri" w:eastAsia="Calibri" w:hAnsi="Calibri" w:cs="Calibri"/>
            <w:lang w:eastAsia="en-GB"/>
          </w:rPr>
          <w:t>Danaher Corporation</w:t>
        </w:r>
      </w:hyperlink>
      <w:r w:rsidRPr="009029FB">
        <w:rPr>
          <w:rFonts w:ascii="Calibri" w:eastAsia="Calibri" w:hAnsi="Calibri" w:cs="Calibri"/>
          <w:lang w:eastAsia="en-GB"/>
        </w:rPr>
        <w:t xml:space="preserve"> and its Luxembourg-based financing entity in connection with the offer and sale of five tranches of CHF-denominated bonds in an aggregate principal amount of CHF 1.25 billion.</w:t>
      </w:r>
    </w:p>
    <w:p w14:paraId="3370081F" w14:textId="77777777" w:rsidR="007D6AF1" w:rsidRPr="00383E3E" w:rsidRDefault="007D6AF1" w:rsidP="007D6AF1">
      <w:pPr>
        <w:pStyle w:val="ListParagraph"/>
        <w:numPr>
          <w:ilvl w:val="0"/>
          <w:numId w:val="7"/>
        </w:numPr>
        <w:spacing w:after="0" w:line="300" w:lineRule="atLeast"/>
        <w:rPr>
          <w:rFonts w:ascii="Segoe UI" w:eastAsia="Times New Roman" w:hAnsi="Segoe UI" w:cs="Segoe UI"/>
          <w:sz w:val="21"/>
          <w:szCs w:val="21"/>
          <w:lang w:val="en-US"/>
        </w:rPr>
      </w:pPr>
      <w:r w:rsidRPr="00383E3E">
        <w:rPr>
          <w:rFonts w:ascii="Segoe UI" w:eastAsia="Times New Roman" w:hAnsi="Segoe UI" w:cs="Segoe UI"/>
          <w:sz w:val="21"/>
          <w:szCs w:val="21"/>
          <w:lang w:val="en-US"/>
        </w:rPr>
        <w:t xml:space="preserve">Advising Breakwater Energy Holdings </w:t>
      </w:r>
      <w:proofErr w:type="spellStart"/>
      <w:r w:rsidRPr="00383E3E">
        <w:rPr>
          <w:rFonts w:ascii="Segoe UI" w:eastAsia="Times New Roman" w:hAnsi="Segoe UI" w:cs="Segoe UI"/>
          <w:sz w:val="21"/>
          <w:szCs w:val="21"/>
          <w:lang w:val="en-US"/>
        </w:rPr>
        <w:t>S.à</w:t>
      </w:r>
      <w:proofErr w:type="spellEnd"/>
      <w:r w:rsidRPr="00383E3E">
        <w:rPr>
          <w:rFonts w:ascii="Segoe UI" w:eastAsia="Times New Roman" w:hAnsi="Segoe UI" w:cs="Segoe UI"/>
          <w:sz w:val="21"/>
          <w:szCs w:val="21"/>
          <w:lang w:val="en-US"/>
        </w:rPr>
        <w:t xml:space="preserve"> </w:t>
      </w:r>
      <w:proofErr w:type="spellStart"/>
      <w:r w:rsidRPr="00383E3E">
        <w:rPr>
          <w:rFonts w:ascii="Segoe UI" w:eastAsia="Times New Roman" w:hAnsi="Segoe UI" w:cs="Segoe UI"/>
          <w:sz w:val="21"/>
          <w:szCs w:val="21"/>
          <w:lang w:val="en-US"/>
        </w:rPr>
        <w:t>r.l</w:t>
      </w:r>
      <w:proofErr w:type="spellEnd"/>
      <w:r w:rsidRPr="00383E3E">
        <w:rPr>
          <w:rFonts w:ascii="Segoe UI" w:eastAsia="Times New Roman" w:hAnsi="Segoe UI" w:cs="Segoe UI"/>
          <w:sz w:val="21"/>
          <w:szCs w:val="21"/>
          <w:lang w:val="en-US"/>
        </w:rPr>
        <w:t xml:space="preserve">. (EIG Partners) on two parallel financing transactions to refinance the deferred purchase price for its 25% acquisition of Repsol </w:t>
      </w:r>
      <w:proofErr w:type="spellStart"/>
      <w:r w:rsidRPr="00383E3E">
        <w:rPr>
          <w:rFonts w:ascii="Segoe UI" w:eastAsia="Times New Roman" w:hAnsi="Segoe UI" w:cs="Segoe UI"/>
          <w:sz w:val="21"/>
          <w:szCs w:val="21"/>
          <w:lang w:val="en-US"/>
        </w:rPr>
        <w:lastRenderedPageBreak/>
        <w:t>E&amp;P</w:t>
      </w:r>
      <w:proofErr w:type="spellEnd"/>
      <w:r w:rsidRPr="00383E3E">
        <w:rPr>
          <w:rFonts w:ascii="Segoe UI" w:eastAsia="Times New Roman" w:hAnsi="Segoe UI" w:cs="Segoe UI"/>
          <w:sz w:val="21"/>
          <w:szCs w:val="21"/>
          <w:lang w:val="en-US"/>
        </w:rPr>
        <w:t xml:space="preserve"> </w:t>
      </w:r>
      <w:proofErr w:type="spellStart"/>
      <w:r w:rsidRPr="00383E3E">
        <w:rPr>
          <w:rFonts w:ascii="Segoe UI" w:eastAsia="Times New Roman" w:hAnsi="Segoe UI" w:cs="Segoe UI"/>
          <w:sz w:val="21"/>
          <w:szCs w:val="21"/>
          <w:lang w:val="en-US"/>
        </w:rPr>
        <w:t>S.à</w:t>
      </w:r>
      <w:proofErr w:type="spellEnd"/>
      <w:r w:rsidRPr="00383E3E">
        <w:rPr>
          <w:rFonts w:ascii="Segoe UI" w:eastAsia="Times New Roman" w:hAnsi="Segoe UI" w:cs="Segoe UI"/>
          <w:sz w:val="21"/>
          <w:szCs w:val="21"/>
          <w:lang w:val="en-US"/>
        </w:rPr>
        <w:t xml:space="preserve"> </w:t>
      </w:r>
      <w:proofErr w:type="spellStart"/>
      <w:r w:rsidRPr="00383E3E">
        <w:rPr>
          <w:rFonts w:ascii="Segoe UI" w:eastAsia="Times New Roman" w:hAnsi="Segoe UI" w:cs="Segoe UI"/>
          <w:sz w:val="21"/>
          <w:szCs w:val="21"/>
          <w:lang w:val="en-US"/>
        </w:rPr>
        <w:t>r.l</w:t>
      </w:r>
      <w:proofErr w:type="spellEnd"/>
      <w:r w:rsidRPr="00383E3E">
        <w:rPr>
          <w:rFonts w:ascii="Segoe UI" w:eastAsia="Times New Roman" w:hAnsi="Segoe UI" w:cs="Segoe UI"/>
          <w:sz w:val="21"/>
          <w:szCs w:val="21"/>
          <w:lang w:val="en-US"/>
        </w:rPr>
        <w:t xml:space="preserve">., including a new </w:t>
      </w:r>
      <w:proofErr w:type="spellStart"/>
      <w:r w:rsidRPr="00383E3E">
        <w:rPr>
          <w:rFonts w:ascii="Segoe UI" w:eastAsia="Times New Roman" w:hAnsi="Segoe UI" w:cs="Segoe UI"/>
          <w:sz w:val="21"/>
          <w:szCs w:val="21"/>
          <w:lang w:val="en-US"/>
        </w:rPr>
        <w:t>USD100m</w:t>
      </w:r>
      <w:proofErr w:type="spellEnd"/>
      <w:r w:rsidRPr="00383E3E">
        <w:rPr>
          <w:rFonts w:ascii="Segoe UI" w:eastAsia="Times New Roman" w:hAnsi="Segoe UI" w:cs="Segoe UI"/>
          <w:sz w:val="21"/>
          <w:szCs w:val="21"/>
          <w:lang w:val="en-US"/>
        </w:rPr>
        <w:t xml:space="preserve"> super senior revolving credit facility and a subsequent </w:t>
      </w:r>
      <w:proofErr w:type="spellStart"/>
      <w:r w:rsidRPr="00383E3E">
        <w:rPr>
          <w:rFonts w:ascii="Segoe UI" w:eastAsia="Times New Roman" w:hAnsi="Segoe UI" w:cs="Segoe UI"/>
          <w:sz w:val="21"/>
          <w:szCs w:val="21"/>
          <w:lang w:val="en-US"/>
        </w:rPr>
        <w:t>USD800m</w:t>
      </w:r>
      <w:proofErr w:type="spellEnd"/>
      <w:r w:rsidRPr="00383E3E">
        <w:rPr>
          <w:rFonts w:ascii="Segoe UI" w:eastAsia="Times New Roman" w:hAnsi="Segoe UI" w:cs="Segoe UI"/>
          <w:sz w:val="21"/>
          <w:szCs w:val="21"/>
          <w:lang w:val="en-US"/>
        </w:rPr>
        <w:t xml:space="preserve"> New York law</w:t>
      </w:r>
      <w:r w:rsidRPr="00383E3E">
        <w:rPr>
          <w:rFonts w:ascii="Segoe UI" w:eastAsia="Times New Roman" w:hAnsi="Segoe UI" w:cs="Segoe UI"/>
          <w:sz w:val="21"/>
          <w:szCs w:val="21"/>
          <w:lang w:val="en-US"/>
        </w:rPr>
        <w:noBreakHyphen/>
        <w:t>governed senior secured bond issuance.</w:t>
      </w:r>
    </w:p>
    <w:p w14:paraId="6BF45424" w14:textId="77777777" w:rsidR="007D6AF1" w:rsidRPr="004A0FE6" w:rsidRDefault="007D6AF1" w:rsidP="007D6AF1">
      <w:pPr>
        <w:numPr>
          <w:ilvl w:val="0"/>
          <w:numId w:val="7"/>
        </w:numPr>
        <w:spacing w:after="0" w:line="256" w:lineRule="auto"/>
        <w:ind w:left="714" w:hanging="357"/>
        <w:contextualSpacing/>
        <w:rPr>
          <w:rFonts w:ascii="Calibri" w:eastAsia="Calibri" w:hAnsi="Calibri" w:cs="Calibri"/>
          <w:lang w:eastAsia="en-GB"/>
        </w:rPr>
      </w:pPr>
      <w:r>
        <w:rPr>
          <w:rFonts w:ascii="Calibri" w:eastAsia="Calibri" w:hAnsi="Calibri" w:cs="Calibri"/>
          <w:lang w:eastAsia="en-GB"/>
        </w:rPr>
        <w:t xml:space="preserve">Supporting </w:t>
      </w:r>
      <w:hyperlink r:id="rId13" w:history="1">
        <w:r w:rsidRPr="00294D13">
          <w:rPr>
            <w:rStyle w:val="Hyperlink"/>
            <w:rFonts w:ascii="Calibri" w:eastAsia="Calibri" w:hAnsi="Calibri" w:cs="Calibri"/>
            <w:lang w:eastAsia="en-GB"/>
          </w:rPr>
          <w:t>Astra Partners</w:t>
        </w:r>
      </w:hyperlink>
      <w:r>
        <w:t>,</w:t>
      </w:r>
      <w:r>
        <w:rPr>
          <w:rFonts w:ascii="Calibri" w:eastAsia="Calibri" w:hAnsi="Calibri" w:cs="Calibri"/>
          <w:lang w:eastAsia="en-GB"/>
        </w:rPr>
        <w:t xml:space="preserve"> </w:t>
      </w:r>
      <w:r w:rsidRPr="00294D13">
        <w:rPr>
          <w:rFonts w:ascii="Calibri" w:eastAsia="Calibri" w:hAnsi="Calibri" w:cs="Calibri"/>
          <w:lang w:eastAsia="en-GB"/>
        </w:rPr>
        <w:t xml:space="preserve">a specialist investor and developer in the datacentre market, on </w:t>
      </w:r>
      <w:r>
        <w:rPr>
          <w:rFonts w:ascii="Calibri" w:eastAsia="Calibri" w:hAnsi="Calibri" w:cs="Calibri"/>
          <w:lang w:eastAsia="en-GB"/>
        </w:rPr>
        <w:t>securing</w:t>
      </w:r>
      <w:r w:rsidRPr="00294D13">
        <w:rPr>
          <w:rFonts w:ascii="Calibri" w:eastAsia="Calibri" w:hAnsi="Calibri" w:cs="Calibri"/>
          <w:lang w:eastAsia="en-GB"/>
        </w:rPr>
        <w:t xml:space="preserve"> a </w:t>
      </w:r>
      <w:proofErr w:type="spellStart"/>
      <w:r w:rsidRPr="00294D13">
        <w:rPr>
          <w:rFonts w:ascii="Calibri" w:eastAsia="Calibri" w:hAnsi="Calibri" w:cs="Calibri"/>
          <w:lang w:eastAsia="en-GB"/>
        </w:rPr>
        <w:t>EUR340</w:t>
      </w:r>
      <w:proofErr w:type="spellEnd"/>
      <w:r w:rsidRPr="00294D13">
        <w:rPr>
          <w:rFonts w:ascii="Calibri" w:eastAsia="Calibri" w:hAnsi="Calibri" w:cs="Calibri"/>
          <w:lang w:eastAsia="en-GB"/>
        </w:rPr>
        <w:t xml:space="preserve"> million financing facility.</w:t>
      </w:r>
    </w:p>
    <w:p w14:paraId="174CE2D7" w14:textId="77777777" w:rsidR="007D6AF1" w:rsidRPr="004A0FE6" w:rsidRDefault="007D6AF1" w:rsidP="007D6AF1">
      <w:pPr>
        <w:spacing w:after="0" w:line="240" w:lineRule="auto"/>
        <w:ind w:left="720"/>
        <w:rPr>
          <w:rFonts w:ascii="Calibri" w:eastAsia="Calibri" w:hAnsi="Calibri" w:cs="Calibri"/>
          <w:lang w:eastAsia="en-GB"/>
        </w:rPr>
      </w:pPr>
    </w:p>
    <w:p w14:paraId="7BA70C06" w14:textId="77777777" w:rsidR="007D6AF1" w:rsidRPr="004A0FE6" w:rsidRDefault="007D6AF1" w:rsidP="007D6AF1">
      <w:pPr>
        <w:spacing w:line="256" w:lineRule="auto"/>
        <w:jc w:val="center"/>
        <w:rPr>
          <w:rFonts w:ascii="Calibri" w:eastAsia="Calibri" w:hAnsi="Calibri" w:cs="Calibri"/>
          <w:b/>
          <w:lang w:eastAsia="en-GB"/>
        </w:rPr>
      </w:pPr>
      <w:r w:rsidRPr="004A0FE6">
        <w:rPr>
          <w:rFonts w:ascii="Calibri" w:eastAsia="Calibri" w:hAnsi="Calibri" w:cs="Calibri"/>
          <w:b/>
          <w:lang w:eastAsia="en-GB"/>
        </w:rPr>
        <w:t>ENDS</w:t>
      </w:r>
    </w:p>
    <w:p w14:paraId="135E5B31" w14:textId="77777777" w:rsidR="00464A3A" w:rsidRDefault="00464A3A" w:rsidP="00464A3A">
      <w:pPr>
        <w:pStyle w:val="MarginText"/>
        <w:rPr>
          <w:lang w:val="en-US"/>
        </w:rPr>
      </w:pPr>
      <w:r>
        <w:rPr>
          <w:lang w:val="en-US"/>
        </w:rPr>
        <w:t>###</w:t>
      </w:r>
    </w:p>
    <w:p w14:paraId="20F9C561" w14:textId="77777777" w:rsidR="00464A3A" w:rsidRPr="004A0FE6" w:rsidRDefault="00464A3A" w:rsidP="00464A3A">
      <w:pPr>
        <w:spacing w:line="256" w:lineRule="auto"/>
        <w:rPr>
          <w:rFonts w:ascii="Calibri" w:eastAsia="Calibri" w:hAnsi="Calibri" w:cs="Calibri"/>
          <w:color w:val="0073CF"/>
          <w:lang w:eastAsia="en-GB"/>
        </w:rPr>
      </w:pPr>
      <w:r w:rsidRPr="004A0FE6">
        <w:rPr>
          <w:rFonts w:ascii="Aptos" w:eastAsia="Aptos" w:hAnsi="Aptos" w:cs="Times New Roman"/>
          <w:noProof/>
        </w:rPr>
        <mc:AlternateContent>
          <mc:Choice Requires="wps">
            <w:drawing>
              <wp:anchor distT="0" distB="0" distL="114299" distR="114299" simplePos="0" relativeHeight="251659264" behindDoc="0" locked="0" layoutInCell="1" allowOverlap="1" wp14:anchorId="312D0D40" wp14:editId="28622A04">
                <wp:simplePos x="0" y="0"/>
                <wp:positionH relativeFrom="column">
                  <wp:posOffset>-266700</wp:posOffset>
                </wp:positionH>
                <wp:positionV relativeFrom="paragraph">
                  <wp:posOffset>101600</wp:posOffset>
                </wp:positionV>
                <wp:extent cx="0" cy="12700"/>
                <wp:effectExtent l="0" t="0" r="38100" b="25400"/>
                <wp:wrapNone/>
                <wp:docPr id="193379979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D8D8D8"/>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7B4BE80" id="_x0000_t32" coordsize="21600,21600" o:spt="32" o:oned="t" path="m,l21600,21600e" filled="f">
                <v:path arrowok="t" fillok="f" o:connecttype="none"/>
                <o:lock v:ext="edit" shapetype="t"/>
              </v:shapetype>
              <v:shape id="Straight Arrow Connector 2" o:spid="_x0000_s1026" type="#_x0000_t32" style="position:absolute;margin-left:-21pt;margin-top:8pt;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" strokecolor="#d8d8d8">
                <v:stroke startarrowwidth="narrow" startarrowlength="short" endarrowwidth="narrow" endarrowlength="short" joinstyle="miter"/>
                <o:lock v:ext="edit" shapetype="f"/>
              </v:shape>
            </w:pict>
          </mc:Fallback>
        </mc:AlternateContent>
      </w:r>
      <w:r w:rsidRPr="004A0FE6">
        <w:rPr>
          <w:rFonts w:ascii="Calibri" w:eastAsia="Calibri" w:hAnsi="Calibri" w:cs="Calibri"/>
          <w:color w:val="0073CF"/>
          <w:lang w:eastAsia="en-GB"/>
        </w:rPr>
        <w:t>Notes to editors:</w:t>
      </w:r>
    </w:p>
    <w:p w14:paraId="2915E518" w14:textId="77777777" w:rsidR="00464A3A" w:rsidRPr="004A0FE6" w:rsidRDefault="00464A3A" w:rsidP="00464A3A">
      <w:pPr>
        <w:spacing w:after="0" w:line="240" w:lineRule="auto"/>
        <w:rPr>
          <w:rFonts w:ascii="Calibri" w:eastAsia="Calibri" w:hAnsi="Calibri" w:cs="Calibri"/>
          <w:color w:val="000000"/>
          <w:lang w:eastAsia="en-GB"/>
        </w:rPr>
      </w:pPr>
      <w:r w:rsidRPr="004A0FE6">
        <w:rPr>
          <w:rFonts w:ascii="Calibri" w:eastAsia="Calibri" w:hAnsi="Calibri" w:cs="Calibri"/>
          <w:color w:val="000000"/>
          <w:lang w:eastAsia="en-GB"/>
        </w:rPr>
        <w:t>DLA Piper's Finance practice is one of the driving forces of the DLA Piper global practice, providing market-leading insight and advice and representing leading investment and commercial financial institutions, public and private companies and government entities. The team advises clients across the full spectrum of banking/finance and capital markets, including asset-based lending, leveraged and debt finance, capital markets/high-yield bonds, derivatives, digital finance, fund finance, securitisation and structured finance, project finance, real estate finance, corporate treasury and venture finance.</w:t>
      </w:r>
    </w:p>
    <w:p w14:paraId="48028ECD" w14:textId="77777777" w:rsidR="00464A3A" w:rsidRPr="004A0FE6" w:rsidRDefault="00464A3A" w:rsidP="00464A3A">
      <w:pPr>
        <w:spacing w:after="0" w:line="240" w:lineRule="auto"/>
        <w:rPr>
          <w:rFonts w:ascii="Calibri" w:eastAsia="Calibri" w:hAnsi="Calibri" w:cs="Calibri"/>
          <w:color w:val="000000"/>
          <w:lang w:eastAsia="en-GB"/>
        </w:rPr>
      </w:pPr>
    </w:p>
    <w:p w14:paraId="252D3A72" w14:textId="77777777" w:rsidR="00464A3A" w:rsidRPr="004A0FE6" w:rsidRDefault="00464A3A" w:rsidP="00464A3A">
      <w:pPr>
        <w:spacing w:line="256" w:lineRule="auto"/>
        <w:rPr>
          <w:rFonts w:ascii="Calibri" w:eastAsia="Calibri" w:hAnsi="Calibri" w:cs="Calibri"/>
          <w:lang w:eastAsia="en-GB"/>
        </w:rPr>
      </w:pPr>
      <w:r w:rsidRPr="004A0FE6">
        <w:rPr>
          <w:rFonts w:ascii="Calibri" w:eastAsia="Calibri" w:hAnsi="Calibri" w:cs="Calibri"/>
          <w:color w:val="0073CF"/>
          <w:lang w:eastAsia="en-GB"/>
        </w:rPr>
        <w:t>About DLA Piper</w:t>
      </w:r>
    </w:p>
    <w:p w14:paraId="5327F770" w14:textId="77777777" w:rsidR="00464A3A" w:rsidRPr="004A0FE6" w:rsidRDefault="00464A3A" w:rsidP="00464A3A">
      <w:pPr>
        <w:spacing w:after="0" w:line="240" w:lineRule="auto"/>
        <w:rPr>
          <w:rFonts w:ascii="Calibri" w:eastAsia="Calibri" w:hAnsi="Calibri" w:cs="Calibri"/>
          <w:color w:val="000000"/>
          <w:lang w:eastAsia="en-GB"/>
        </w:rPr>
      </w:pPr>
      <w:r w:rsidRPr="004A0FE6">
        <w:rPr>
          <w:rFonts w:ascii="Calibri" w:eastAsia="Calibri" w:hAnsi="Calibri" w:cs="Calibri"/>
          <w:color w:val="000000"/>
          <w:lang w:eastAsia="en-GB"/>
        </w:rPr>
        <w:t>DLA Piper is a global law firm helping our clients achieve their goals wherever they do business. Our pursuit of innovation has transformed our delivery of</w:t>
      </w:r>
      <w:r w:rsidRPr="004A0FE6">
        <w:rPr>
          <w:rFonts w:ascii="Calibri" w:eastAsia="Calibri" w:hAnsi="Calibri" w:cs="Calibri"/>
          <w:color w:val="00B0F0"/>
          <w:lang w:eastAsia="en-GB"/>
        </w:rPr>
        <w:t xml:space="preserve"> </w:t>
      </w:r>
      <w:hyperlink r:id="rId14" w:history="1">
        <w:r w:rsidRPr="004A0FE6">
          <w:rPr>
            <w:rFonts w:ascii="Calibri" w:eastAsia="Calibri" w:hAnsi="Calibri" w:cs="Calibri"/>
            <w:color w:val="00B0F0"/>
            <w:u w:val="single"/>
            <w:lang w:eastAsia="en-GB"/>
          </w:rPr>
          <w:t>legal services</w:t>
        </w:r>
      </w:hyperlink>
      <w:r w:rsidRPr="004A0FE6">
        <w:rPr>
          <w:rFonts w:ascii="Calibri" w:eastAsia="Calibri" w:hAnsi="Calibri" w:cs="Calibri"/>
          <w:color w:val="000000"/>
          <w:lang w:eastAsia="en-GB"/>
        </w:rPr>
        <w:t xml:space="preserve">. With offices in the </w:t>
      </w:r>
      <w:hyperlink r:id="rId15" w:history="1">
        <w:r w:rsidRPr="004A0FE6">
          <w:rPr>
            <w:rFonts w:ascii="Calibri" w:eastAsia="Calibri" w:hAnsi="Calibri" w:cs="Calibri"/>
            <w:color w:val="00B0F0"/>
            <w:u w:val="single"/>
            <w:lang w:eastAsia="en-GB"/>
          </w:rPr>
          <w:t>Americas, Europe, the Middle East, Africa and Asia Pacific</w:t>
        </w:r>
      </w:hyperlink>
      <w:r w:rsidRPr="004A0FE6">
        <w:rPr>
          <w:rFonts w:ascii="Calibri" w:eastAsia="Calibri" w:hAnsi="Calibri" w:cs="Calibri"/>
          <w:color w:val="000000"/>
          <w:lang w:eastAsia="en-GB"/>
        </w:rPr>
        <w:t>, we deliver exceptional outcomes on cross-border projects, critical transactions and high-stakes disputes.</w:t>
      </w:r>
    </w:p>
    <w:p w14:paraId="3F4C5D3A" w14:textId="77777777" w:rsidR="00464A3A" w:rsidRPr="004A0FE6" w:rsidRDefault="00464A3A" w:rsidP="00464A3A">
      <w:pPr>
        <w:spacing w:after="0" w:line="240" w:lineRule="auto"/>
        <w:rPr>
          <w:rFonts w:ascii="Calibri" w:eastAsia="Calibri" w:hAnsi="Calibri" w:cs="Calibri"/>
          <w:color w:val="000000"/>
          <w:lang w:eastAsia="en-GB"/>
        </w:rPr>
      </w:pPr>
      <w:r w:rsidRPr="004A0FE6">
        <w:rPr>
          <w:rFonts w:ascii="Calibri" w:eastAsia="Calibri" w:hAnsi="Calibri" w:cs="Calibri"/>
          <w:color w:val="000000"/>
          <w:lang w:eastAsia="en-GB"/>
        </w:rPr>
        <w:t> </w:t>
      </w:r>
    </w:p>
    <w:p w14:paraId="6FA1563B" w14:textId="77777777" w:rsidR="00464A3A" w:rsidRPr="004A0FE6" w:rsidRDefault="00464A3A" w:rsidP="00464A3A">
      <w:pPr>
        <w:spacing w:after="0" w:line="240" w:lineRule="auto"/>
        <w:rPr>
          <w:rFonts w:ascii="Calibri" w:eastAsia="Calibri" w:hAnsi="Calibri" w:cs="Calibri"/>
          <w:color w:val="000000"/>
          <w:lang w:eastAsia="en-GB"/>
        </w:rPr>
      </w:pPr>
      <w:r w:rsidRPr="004A0FE6">
        <w:rPr>
          <w:rFonts w:ascii="Calibri" w:eastAsia="Calibri" w:hAnsi="Calibri" w:cs="Calibri"/>
          <w:color w:val="000000"/>
          <w:lang w:eastAsia="en-GB"/>
        </w:rPr>
        <w:t xml:space="preserve">Every day we help trailblazing organizations seize business opportunities and successfully manage growth and change at speed. Through our </w:t>
      </w:r>
      <w:hyperlink r:id="rId16" w:history="1">
        <w:r w:rsidRPr="004A0FE6">
          <w:rPr>
            <w:rFonts w:ascii="Calibri" w:eastAsia="Calibri" w:hAnsi="Calibri" w:cs="Calibri"/>
            <w:color w:val="00B0F0"/>
            <w:u w:val="single"/>
            <w:lang w:eastAsia="en-GB"/>
          </w:rPr>
          <w:t>pro bono work</w:t>
        </w:r>
      </w:hyperlink>
      <w:r w:rsidRPr="004A0FE6">
        <w:rPr>
          <w:rFonts w:ascii="Calibri" w:eastAsia="Calibri" w:hAnsi="Calibri" w:cs="Calibri"/>
          <w:color w:val="000000"/>
          <w:lang w:eastAsia="en-GB"/>
        </w:rPr>
        <w:t xml:space="preserve"> and community investment around the world, we help create a more just and sustainable future. Visit </w:t>
      </w:r>
      <w:hyperlink r:id="rId17" w:history="1">
        <w:proofErr w:type="spellStart"/>
        <w:r w:rsidRPr="004A0FE6">
          <w:rPr>
            <w:rFonts w:ascii="Calibri" w:eastAsia="Calibri" w:hAnsi="Calibri" w:cs="Calibri"/>
            <w:color w:val="00B0F0"/>
            <w:u w:val="single"/>
            <w:lang w:eastAsia="en-GB"/>
          </w:rPr>
          <w:t>dlapiper.com</w:t>
        </w:r>
        <w:proofErr w:type="spellEnd"/>
      </w:hyperlink>
      <w:hyperlink r:id="rId18" w:history="1">
        <w:r w:rsidRPr="004A0FE6">
          <w:rPr>
            <w:rFonts w:ascii="Calibri" w:eastAsia="Calibri" w:hAnsi="Calibri" w:cs="Calibri"/>
            <w:color w:val="467886"/>
            <w:u w:val="single"/>
            <w:lang w:eastAsia="en-GB"/>
          </w:rPr>
          <w:t> </w:t>
        </w:r>
      </w:hyperlink>
      <w:r w:rsidRPr="004A0FE6">
        <w:rPr>
          <w:rFonts w:ascii="Calibri" w:eastAsia="Calibri" w:hAnsi="Calibri" w:cs="Calibri"/>
          <w:color w:val="000000"/>
          <w:lang w:eastAsia="en-GB"/>
        </w:rPr>
        <w:t>to discover more.</w:t>
      </w:r>
    </w:p>
    <w:p w14:paraId="1B75FF4F" w14:textId="77777777" w:rsidR="00464A3A" w:rsidRPr="004A0FE6" w:rsidRDefault="00464A3A" w:rsidP="00464A3A">
      <w:pPr>
        <w:spacing w:after="0" w:line="240" w:lineRule="auto"/>
        <w:rPr>
          <w:rFonts w:ascii="Calibri" w:eastAsia="Calibri" w:hAnsi="Calibri" w:cs="Calibri"/>
          <w:color w:val="000000"/>
          <w:lang w:eastAsia="en-GB"/>
        </w:rPr>
      </w:pPr>
    </w:p>
    <w:p w14:paraId="081326EE" w14:textId="77777777" w:rsidR="00296C22" w:rsidRPr="00296C22" w:rsidRDefault="00296C22" w:rsidP="00296C22">
      <w:pPr>
        <w:spacing w:line="256" w:lineRule="auto"/>
        <w:rPr>
          <w:rFonts w:ascii="Calibri" w:eastAsia="Calibri" w:hAnsi="Calibri" w:cs="Calibri"/>
          <w:color w:val="0073CF"/>
          <w:lang w:eastAsia="en-GB"/>
        </w:rPr>
      </w:pPr>
      <w:r w:rsidRPr="00296C22">
        <w:rPr>
          <w:rFonts w:ascii="Calibri" w:eastAsia="Calibri" w:hAnsi="Calibri" w:cs="Calibri"/>
          <w:color w:val="0073CF"/>
          <w:lang w:eastAsia="en-GB"/>
        </w:rPr>
        <w:t>Press contact</w:t>
      </w:r>
    </w:p>
    <w:p w14:paraId="61C93527" w14:textId="77777777" w:rsidR="00296C22" w:rsidRPr="00296C22" w:rsidRDefault="00296C22" w:rsidP="00296C22">
      <w:r w:rsidRPr="00296C22">
        <w:t>Stephanie Leclercq, Senior Marketing Manager, DLA Piper</w:t>
      </w:r>
    </w:p>
    <w:p w14:paraId="7F08F7F3" w14:textId="77777777" w:rsidR="00296C22" w:rsidRPr="00296C22" w:rsidRDefault="00296C22" w:rsidP="00296C22">
      <w:r w:rsidRPr="00296C22">
        <w:t xml:space="preserve">Tel.: +352 621 751 517 or email: </w:t>
      </w:r>
      <w:hyperlink r:id="rId19" w:history="1">
        <w:proofErr w:type="spellStart"/>
        <w:r w:rsidRPr="00296C22">
          <w:rPr>
            <w:rStyle w:val="Hyperlink"/>
          </w:rPr>
          <w:t>stephanie.leclercq@dlapiper.com</w:t>
        </w:r>
        <w:proofErr w:type="spellEnd"/>
      </w:hyperlink>
    </w:p>
    <w:p w14:paraId="31B0A338" w14:textId="77777777" w:rsidR="00296C22" w:rsidRDefault="00296C22" w:rsidP="00464A3A">
      <w:pPr>
        <w:rPr>
          <w:b/>
          <w:bCs/>
          <w:u w:val="single"/>
          <w:lang w:val="en-US" w:eastAsia="zh-CN"/>
        </w:rPr>
      </w:pPr>
    </w:p>
    <w:p w14:paraId="522AEFA9" w14:textId="49FAB2F8" w:rsidR="00464A3A" w:rsidRPr="00296C22" w:rsidRDefault="00464A3A" w:rsidP="00296C22">
      <w:pPr>
        <w:spacing w:line="256" w:lineRule="auto"/>
        <w:rPr>
          <w:rFonts w:ascii="Calibri" w:eastAsia="Calibri" w:hAnsi="Calibri" w:cs="Calibri"/>
          <w:color w:val="0073CF"/>
          <w:lang w:eastAsia="en-GB"/>
        </w:rPr>
      </w:pPr>
      <w:r w:rsidRPr="00296C22">
        <w:rPr>
          <w:rFonts w:ascii="Calibri" w:eastAsia="Calibri" w:hAnsi="Calibri" w:cs="Calibri"/>
          <w:color w:val="0073CF"/>
          <w:lang w:eastAsia="en-GB"/>
        </w:rPr>
        <w:t>Simple explainers</w:t>
      </w:r>
    </w:p>
    <w:p w14:paraId="54390E8B" w14:textId="77777777" w:rsidR="00464A3A" w:rsidRPr="00296C22" w:rsidRDefault="00464A3A" w:rsidP="00464A3A">
      <w:pPr>
        <w:pStyle w:val="ListParagraph"/>
        <w:numPr>
          <w:ilvl w:val="0"/>
          <w:numId w:val="9"/>
        </w:numPr>
        <w:spacing w:after="0" w:line="240" w:lineRule="auto"/>
        <w:ind w:left="360"/>
        <w:rPr>
          <w:rFonts w:ascii="Calibri" w:hAnsi="Calibri" w:cs="Calibri"/>
          <w:lang w:val="en-US" w:eastAsia="zh-CN"/>
        </w:rPr>
      </w:pPr>
      <w:proofErr w:type="spellStart"/>
      <w:r w:rsidRPr="00296C22">
        <w:rPr>
          <w:rFonts w:ascii="Calibri" w:hAnsi="Calibri" w:cs="Calibri"/>
          <w:b/>
          <w:bCs/>
          <w:lang w:val="en-US" w:eastAsia="zh-CN"/>
        </w:rPr>
        <w:t>MiCA</w:t>
      </w:r>
      <w:proofErr w:type="spellEnd"/>
      <w:r w:rsidRPr="00296C22">
        <w:rPr>
          <w:rFonts w:ascii="Calibri" w:hAnsi="Calibri" w:cs="Calibri"/>
          <w:lang w:val="en-US" w:eastAsia="zh-CN"/>
        </w:rPr>
        <w:t xml:space="preserve">: </w:t>
      </w:r>
      <w:r w:rsidRPr="00296C22">
        <w:rPr>
          <w:rFonts w:ascii="Calibri" w:hAnsi="Calibri" w:cs="Calibri"/>
          <w:b/>
          <w:bCs/>
          <w:lang w:val="en-US" w:eastAsia="zh-CN"/>
        </w:rPr>
        <w:t>Markets in Crypto</w:t>
      </w:r>
      <w:r w:rsidRPr="00296C22">
        <w:rPr>
          <w:rFonts w:ascii="Calibri" w:hAnsi="Calibri" w:cs="Calibri"/>
          <w:b/>
          <w:bCs/>
          <w:lang w:val="en-US" w:eastAsia="zh-CN"/>
        </w:rPr>
        <w:noBreakHyphen/>
        <w:t>Assets Regulation (EU 2023/1114)</w:t>
      </w:r>
      <w:r w:rsidRPr="00296C22">
        <w:rPr>
          <w:rFonts w:ascii="Calibri" w:hAnsi="Calibri" w:cs="Calibri"/>
          <w:lang w:val="en-US" w:eastAsia="zh-CN"/>
        </w:rPr>
        <w:t>.</w:t>
      </w:r>
    </w:p>
    <w:p w14:paraId="2BEFD6C5" w14:textId="77777777" w:rsidR="00464A3A" w:rsidRPr="00296C22" w:rsidRDefault="00464A3A" w:rsidP="00464A3A">
      <w:pPr>
        <w:pStyle w:val="ListParagraph"/>
        <w:ind w:left="360"/>
        <w:rPr>
          <w:rFonts w:ascii="Calibri" w:hAnsi="Calibri" w:cs="Calibri"/>
          <w:lang w:val="en-US" w:eastAsia="zh-CN"/>
        </w:rPr>
      </w:pPr>
      <w:r w:rsidRPr="00296C22">
        <w:rPr>
          <w:rFonts w:ascii="Calibri" w:hAnsi="Calibri" w:cs="Calibri"/>
          <w:lang w:val="en-US" w:eastAsia="zh-CN"/>
        </w:rPr>
        <w:t>The EU framework for crypto</w:t>
      </w:r>
      <w:r w:rsidRPr="00296C22">
        <w:rPr>
          <w:rFonts w:ascii="Calibri" w:hAnsi="Calibri" w:cs="Calibri"/>
          <w:lang w:val="en-US" w:eastAsia="zh-CN"/>
        </w:rPr>
        <w:noBreakHyphen/>
        <w:t>asset markets. Regulates issuers, service providers and stablecoins. In force since 29 June 2023 and fully applicable from 30 June 2024 (for ART (Asset</w:t>
      </w:r>
      <w:r w:rsidRPr="00296C22">
        <w:rPr>
          <w:rFonts w:ascii="Calibri" w:hAnsi="Calibri" w:cs="Calibri"/>
          <w:lang w:val="en-US" w:eastAsia="zh-CN"/>
        </w:rPr>
        <w:noBreakHyphen/>
        <w:t>referenced token) and EMT (E</w:t>
      </w:r>
      <w:r w:rsidRPr="00296C22">
        <w:rPr>
          <w:rFonts w:ascii="Calibri" w:hAnsi="Calibri" w:cs="Calibri"/>
          <w:lang w:val="en-US" w:eastAsia="zh-CN"/>
        </w:rPr>
        <w:noBreakHyphen/>
        <w:t xml:space="preserve">money token)) and 30 December 2024 (for </w:t>
      </w:r>
      <w:proofErr w:type="spellStart"/>
      <w:r w:rsidRPr="00296C22">
        <w:rPr>
          <w:rFonts w:ascii="Calibri" w:hAnsi="Calibri" w:cs="Calibri"/>
          <w:lang w:val="en-US" w:eastAsia="zh-CN"/>
        </w:rPr>
        <w:t>CASP</w:t>
      </w:r>
      <w:proofErr w:type="spellEnd"/>
      <w:r w:rsidRPr="00296C22">
        <w:rPr>
          <w:rFonts w:ascii="Calibri" w:hAnsi="Calibri" w:cs="Calibri"/>
          <w:lang w:val="en-US" w:eastAsia="zh-CN"/>
        </w:rPr>
        <w:t xml:space="preserve"> (Crypto-Asset Service Providers)) across the EU, including Luxembourg.</w:t>
      </w:r>
    </w:p>
    <w:p w14:paraId="2B0F091A" w14:textId="77777777" w:rsidR="00464A3A" w:rsidRPr="00296C22" w:rsidRDefault="00464A3A" w:rsidP="00464A3A">
      <w:pPr>
        <w:pStyle w:val="ListParagraph"/>
        <w:ind w:left="360"/>
        <w:rPr>
          <w:rFonts w:ascii="Calibri" w:hAnsi="Calibri" w:cs="Calibri"/>
          <w:lang w:val="en-US" w:eastAsia="zh-CN"/>
        </w:rPr>
      </w:pPr>
    </w:p>
    <w:p w14:paraId="7ADCF37F" w14:textId="77777777" w:rsidR="00464A3A" w:rsidRPr="00296C22" w:rsidRDefault="00464A3A" w:rsidP="00464A3A">
      <w:pPr>
        <w:pStyle w:val="ListParagraph"/>
        <w:numPr>
          <w:ilvl w:val="0"/>
          <w:numId w:val="9"/>
        </w:numPr>
        <w:spacing w:after="0" w:line="240" w:lineRule="auto"/>
        <w:ind w:left="360"/>
        <w:rPr>
          <w:rFonts w:ascii="Calibri" w:hAnsi="Calibri" w:cs="Calibri"/>
          <w:lang w:val="en-US" w:eastAsia="zh-CN"/>
        </w:rPr>
      </w:pPr>
      <w:proofErr w:type="spellStart"/>
      <w:r w:rsidRPr="00296C22">
        <w:rPr>
          <w:rFonts w:ascii="Calibri" w:hAnsi="Calibri" w:cs="Calibri"/>
          <w:b/>
          <w:bCs/>
          <w:lang w:val="en-US" w:eastAsia="zh-CN"/>
        </w:rPr>
        <w:t>PSD3</w:t>
      </w:r>
      <w:proofErr w:type="spellEnd"/>
      <w:r w:rsidRPr="00296C22">
        <w:rPr>
          <w:rFonts w:ascii="Calibri" w:hAnsi="Calibri" w:cs="Calibri"/>
          <w:lang w:val="en-US" w:eastAsia="zh-CN"/>
        </w:rPr>
        <w:t xml:space="preserve">: </w:t>
      </w:r>
      <w:r w:rsidRPr="00296C22">
        <w:rPr>
          <w:rFonts w:ascii="Calibri" w:hAnsi="Calibri" w:cs="Calibri"/>
          <w:b/>
          <w:bCs/>
          <w:lang w:val="en-US" w:eastAsia="zh-CN"/>
        </w:rPr>
        <w:t>Third Payment Services Directive (proposal)</w:t>
      </w:r>
      <w:r w:rsidRPr="00296C22">
        <w:rPr>
          <w:rFonts w:ascii="Calibri" w:hAnsi="Calibri" w:cs="Calibri"/>
          <w:lang w:val="en-US" w:eastAsia="zh-CN"/>
        </w:rPr>
        <w:t>.</w:t>
      </w:r>
    </w:p>
    <w:p w14:paraId="0976532A" w14:textId="77777777" w:rsidR="00464A3A" w:rsidRPr="00296C22" w:rsidRDefault="00464A3A" w:rsidP="00464A3A">
      <w:pPr>
        <w:pStyle w:val="ListParagraph"/>
        <w:ind w:left="360"/>
        <w:rPr>
          <w:rFonts w:ascii="Calibri" w:hAnsi="Calibri" w:cs="Calibri"/>
          <w:lang w:val="en-US" w:eastAsia="zh-CN"/>
        </w:rPr>
      </w:pPr>
      <w:r w:rsidRPr="00296C22">
        <w:rPr>
          <w:rFonts w:ascii="Calibri" w:hAnsi="Calibri" w:cs="Calibri"/>
          <w:lang w:val="en-US" w:eastAsia="zh-CN"/>
        </w:rPr>
        <w:t>The next iteration of EU payment services rules. Aims to strengthen consumer protection, fraud prevention and open banking.</w:t>
      </w:r>
      <w:r w:rsidRPr="00296C22">
        <w:rPr>
          <w:rFonts w:ascii="Calibri" w:hAnsi="Calibri" w:cs="Calibri"/>
          <w:sz w:val="21"/>
          <w:szCs w:val="21"/>
          <w:lang w:val="en-US"/>
        </w:rPr>
        <w:t xml:space="preserve"> </w:t>
      </w:r>
      <w:proofErr w:type="spellStart"/>
      <w:r w:rsidRPr="00296C22">
        <w:rPr>
          <w:rFonts w:ascii="Calibri" w:hAnsi="Calibri" w:cs="Calibri"/>
          <w:lang w:val="en-US" w:eastAsia="zh-CN"/>
        </w:rPr>
        <w:t>PSD3</w:t>
      </w:r>
      <w:proofErr w:type="spellEnd"/>
      <w:r w:rsidRPr="00296C22">
        <w:rPr>
          <w:rFonts w:ascii="Calibri" w:hAnsi="Calibri" w:cs="Calibri"/>
          <w:lang w:val="en-US" w:eastAsia="zh-CN"/>
        </w:rPr>
        <w:t xml:space="preserve"> is not yet in force and final texts are pending adoption.</w:t>
      </w:r>
    </w:p>
    <w:p w14:paraId="1B6127D6" w14:textId="77777777" w:rsidR="00464A3A" w:rsidRPr="00296C22" w:rsidRDefault="00464A3A" w:rsidP="00464A3A">
      <w:pPr>
        <w:pStyle w:val="ListParagraph"/>
        <w:ind w:left="360"/>
        <w:rPr>
          <w:rFonts w:ascii="Calibri" w:hAnsi="Calibri" w:cs="Calibri"/>
          <w:lang w:val="en-US" w:eastAsia="zh-CN"/>
        </w:rPr>
      </w:pPr>
    </w:p>
    <w:p w14:paraId="7941EB58" w14:textId="77777777" w:rsidR="00464A3A" w:rsidRPr="00296C22" w:rsidRDefault="00464A3A" w:rsidP="00464A3A">
      <w:pPr>
        <w:pStyle w:val="ListParagraph"/>
        <w:numPr>
          <w:ilvl w:val="0"/>
          <w:numId w:val="9"/>
        </w:numPr>
        <w:spacing w:after="0" w:line="240" w:lineRule="auto"/>
        <w:ind w:left="360"/>
        <w:rPr>
          <w:rFonts w:ascii="Calibri" w:hAnsi="Calibri" w:cs="Calibri"/>
          <w:lang w:val="fr-FR" w:eastAsia="zh-CN"/>
        </w:rPr>
      </w:pPr>
      <w:proofErr w:type="spellStart"/>
      <w:r w:rsidRPr="00296C22">
        <w:rPr>
          <w:rFonts w:ascii="Calibri" w:hAnsi="Calibri" w:cs="Calibri"/>
          <w:b/>
          <w:bCs/>
          <w:lang w:val="fr-FR" w:eastAsia="zh-CN"/>
        </w:rPr>
        <w:t>CRD</w:t>
      </w:r>
      <w:proofErr w:type="gramStart"/>
      <w:r w:rsidRPr="00296C22">
        <w:rPr>
          <w:rFonts w:ascii="Calibri" w:hAnsi="Calibri" w:cs="Calibri"/>
          <w:b/>
          <w:bCs/>
          <w:lang w:val="fr-FR" w:eastAsia="zh-CN"/>
        </w:rPr>
        <w:t>6</w:t>
      </w:r>
      <w:proofErr w:type="spellEnd"/>
      <w:r w:rsidRPr="00296C22">
        <w:rPr>
          <w:rFonts w:ascii="Calibri" w:hAnsi="Calibri" w:cs="Calibri"/>
          <w:lang w:val="fr-FR" w:eastAsia="zh-CN"/>
        </w:rPr>
        <w:t>:</w:t>
      </w:r>
      <w:proofErr w:type="gramEnd"/>
      <w:r w:rsidRPr="00296C22">
        <w:rPr>
          <w:rFonts w:ascii="Calibri" w:hAnsi="Calibri" w:cs="Calibri"/>
          <w:lang w:val="fr-FR" w:eastAsia="zh-CN"/>
        </w:rPr>
        <w:t xml:space="preserve"> </w:t>
      </w:r>
      <w:r w:rsidRPr="00296C22">
        <w:rPr>
          <w:rFonts w:ascii="Calibri" w:hAnsi="Calibri" w:cs="Calibri"/>
          <w:b/>
          <w:bCs/>
          <w:lang w:val="fr-FR" w:eastAsia="zh-CN"/>
        </w:rPr>
        <w:t xml:space="preserve">Capital </w:t>
      </w:r>
      <w:proofErr w:type="spellStart"/>
      <w:r w:rsidRPr="00296C22">
        <w:rPr>
          <w:rFonts w:ascii="Calibri" w:hAnsi="Calibri" w:cs="Calibri"/>
          <w:b/>
          <w:bCs/>
          <w:lang w:val="fr-FR" w:eastAsia="zh-CN"/>
        </w:rPr>
        <w:t>Requirements</w:t>
      </w:r>
      <w:proofErr w:type="spellEnd"/>
      <w:r w:rsidRPr="00296C22">
        <w:rPr>
          <w:rFonts w:ascii="Calibri" w:hAnsi="Calibri" w:cs="Calibri"/>
          <w:b/>
          <w:bCs/>
          <w:lang w:val="fr-FR" w:eastAsia="zh-CN"/>
        </w:rPr>
        <w:t xml:space="preserve"> Directive VI (Directive (EU) 2024/1619)</w:t>
      </w:r>
      <w:r w:rsidRPr="00296C22">
        <w:rPr>
          <w:rFonts w:ascii="Calibri" w:hAnsi="Calibri" w:cs="Calibri"/>
          <w:lang w:val="fr-FR" w:eastAsia="zh-CN"/>
        </w:rPr>
        <w:t>.</w:t>
      </w:r>
    </w:p>
    <w:p w14:paraId="70EE8E6B" w14:textId="77777777" w:rsidR="00464A3A" w:rsidRPr="00296C22" w:rsidRDefault="00464A3A" w:rsidP="00464A3A">
      <w:pPr>
        <w:pStyle w:val="ListParagraph"/>
        <w:ind w:left="360"/>
        <w:rPr>
          <w:rFonts w:ascii="Calibri" w:hAnsi="Calibri" w:cs="Calibri"/>
          <w:lang w:val="en-US" w:eastAsia="zh-CN"/>
        </w:rPr>
      </w:pPr>
      <w:r w:rsidRPr="00296C22">
        <w:rPr>
          <w:rFonts w:ascii="Calibri" w:hAnsi="Calibri" w:cs="Calibri"/>
          <w:lang w:val="en-US" w:eastAsia="zh-CN"/>
        </w:rPr>
        <w:lastRenderedPageBreak/>
        <w:t xml:space="preserve">The capital </w:t>
      </w:r>
      <w:proofErr w:type="gramStart"/>
      <w:r w:rsidRPr="00296C22">
        <w:rPr>
          <w:rFonts w:ascii="Calibri" w:hAnsi="Calibri" w:cs="Calibri"/>
          <w:lang w:val="en-US" w:eastAsia="zh-CN"/>
        </w:rPr>
        <w:t>requirements</w:t>
      </w:r>
      <w:proofErr w:type="gramEnd"/>
      <w:r w:rsidRPr="00296C22">
        <w:rPr>
          <w:rFonts w:ascii="Calibri" w:hAnsi="Calibri" w:cs="Calibri"/>
          <w:lang w:val="en-US" w:eastAsia="zh-CN"/>
        </w:rPr>
        <w:t xml:space="preserve"> framework update. Reinforces governance and risk management in banks and investment firms.</w:t>
      </w:r>
      <w:r w:rsidRPr="00296C22">
        <w:rPr>
          <w:rFonts w:ascii="Calibri" w:hAnsi="Calibri" w:cs="Calibri"/>
          <w:b/>
          <w:bCs/>
          <w:sz w:val="21"/>
          <w:szCs w:val="21"/>
          <w:lang w:val="en-US"/>
        </w:rPr>
        <w:t xml:space="preserve"> </w:t>
      </w:r>
      <w:r w:rsidRPr="00296C22">
        <w:rPr>
          <w:rFonts w:ascii="Calibri" w:hAnsi="Calibri" w:cs="Calibri"/>
          <w:lang w:val="en-US" w:eastAsia="zh-CN"/>
        </w:rPr>
        <w:t xml:space="preserve">In force </w:t>
      </w:r>
      <w:proofErr w:type="gramStart"/>
      <w:r w:rsidRPr="00296C22">
        <w:rPr>
          <w:rFonts w:ascii="Calibri" w:hAnsi="Calibri" w:cs="Calibri"/>
          <w:lang w:val="en-US" w:eastAsia="zh-CN"/>
        </w:rPr>
        <w:t>since</w:t>
      </w:r>
      <w:proofErr w:type="gramEnd"/>
      <w:r w:rsidRPr="00296C22">
        <w:rPr>
          <w:rFonts w:ascii="Calibri" w:hAnsi="Calibri" w:cs="Calibri"/>
          <w:lang w:val="en-US" w:eastAsia="zh-CN"/>
        </w:rPr>
        <w:t xml:space="preserve"> 9 July 2024 and applicable from 11 January 2026, except the regime for third</w:t>
      </w:r>
      <w:r w:rsidRPr="00296C22">
        <w:rPr>
          <w:rFonts w:ascii="Calibri" w:hAnsi="Calibri" w:cs="Calibri"/>
          <w:lang w:val="en-US" w:eastAsia="zh-CN"/>
        </w:rPr>
        <w:noBreakHyphen/>
        <w:t>country branches which applies from January 2027.</w:t>
      </w:r>
    </w:p>
    <w:p w14:paraId="0ADA9E07" w14:textId="77777777" w:rsidR="00464A3A" w:rsidRPr="00296C22" w:rsidRDefault="00464A3A" w:rsidP="00464A3A">
      <w:pPr>
        <w:pStyle w:val="ListParagraph"/>
        <w:ind w:left="360"/>
        <w:rPr>
          <w:rFonts w:ascii="Calibri" w:hAnsi="Calibri" w:cs="Calibri"/>
          <w:lang w:val="en-US" w:eastAsia="zh-CN"/>
        </w:rPr>
      </w:pPr>
    </w:p>
    <w:p w14:paraId="7FED2F75" w14:textId="77777777" w:rsidR="00464A3A" w:rsidRPr="00296C22" w:rsidRDefault="00464A3A" w:rsidP="00464A3A">
      <w:pPr>
        <w:pStyle w:val="ListParagraph"/>
        <w:numPr>
          <w:ilvl w:val="0"/>
          <w:numId w:val="9"/>
        </w:numPr>
        <w:spacing w:after="0" w:line="240" w:lineRule="auto"/>
        <w:ind w:left="360"/>
        <w:rPr>
          <w:rFonts w:ascii="Calibri" w:hAnsi="Calibri" w:cs="Calibri"/>
          <w:lang w:val="en-US" w:eastAsia="zh-CN"/>
        </w:rPr>
      </w:pPr>
      <w:r w:rsidRPr="00296C22">
        <w:rPr>
          <w:rFonts w:ascii="Calibri" w:hAnsi="Calibri" w:cs="Calibri"/>
          <w:b/>
          <w:bCs/>
          <w:lang w:val="en-US" w:eastAsia="zh-CN"/>
        </w:rPr>
        <w:t>DORA</w:t>
      </w:r>
      <w:r w:rsidRPr="00296C22">
        <w:rPr>
          <w:rFonts w:ascii="Calibri" w:hAnsi="Calibri" w:cs="Calibri"/>
          <w:lang w:val="en-US" w:eastAsia="zh-CN"/>
        </w:rPr>
        <w:t xml:space="preserve">: </w:t>
      </w:r>
      <w:r w:rsidRPr="00296C22">
        <w:rPr>
          <w:rFonts w:ascii="Calibri" w:hAnsi="Calibri" w:cs="Calibri"/>
          <w:b/>
          <w:bCs/>
          <w:lang w:val="en-US" w:eastAsia="zh-CN"/>
        </w:rPr>
        <w:t>Digital Operational Resilience Act (Regulation (EU) 2022/2554)</w:t>
      </w:r>
      <w:r w:rsidRPr="00296C22">
        <w:rPr>
          <w:rFonts w:ascii="Calibri" w:hAnsi="Calibri" w:cs="Calibri"/>
          <w:lang w:val="en-US" w:eastAsia="zh-CN"/>
        </w:rPr>
        <w:t>.</w:t>
      </w:r>
    </w:p>
    <w:p w14:paraId="49428F31" w14:textId="77777777" w:rsidR="00464A3A" w:rsidRPr="00296C22" w:rsidRDefault="00464A3A" w:rsidP="00464A3A">
      <w:pPr>
        <w:pStyle w:val="ListParagraph"/>
        <w:ind w:left="360"/>
        <w:rPr>
          <w:rFonts w:ascii="Calibri" w:hAnsi="Calibri" w:cs="Calibri"/>
          <w:lang w:val="en-US" w:eastAsia="zh-CN"/>
        </w:rPr>
      </w:pPr>
      <w:r w:rsidRPr="00296C22">
        <w:rPr>
          <w:rFonts w:ascii="Calibri" w:hAnsi="Calibri" w:cs="Calibri"/>
          <w:lang w:val="en-US" w:eastAsia="zh-CN"/>
        </w:rPr>
        <w:t>Sets uniform standards for ICT risk management, incident reporting and testing.</w:t>
      </w:r>
      <w:r w:rsidRPr="00296C22">
        <w:rPr>
          <w:rFonts w:ascii="Calibri" w:hAnsi="Calibri" w:cs="Calibri"/>
          <w:b/>
          <w:bCs/>
          <w:sz w:val="21"/>
          <w:szCs w:val="21"/>
          <w:lang w:val="en-US"/>
        </w:rPr>
        <w:t xml:space="preserve"> </w:t>
      </w:r>
      <w:r w:rsidRPr="00296C22">
        <w:rPr>
          <w:rFonts w:ascii="Calibri" w:hAnsi="Calibri" w:cs="Calibri"/>
          <w:lang w:val="en-US" w:eastAsia="zh-CN"/>
        </w:rPr>
        <w:t>In force since 16 January 2023 and applicable from 17 January 2025 across all Member States, including Luxembourg.</w:t>
      </w:r>
    </w:p>
    <w:p w14:paraId="197C3607" w14:textId="77777777" w:rsidR="00464A3A" w:rsidRPr="00296C22" w:rsidRDefault="00464A3A" w:rsidP="00464A3A">
      <w:pPr>
        <w:pStyle w:val="ListParagraph"/>
        <w:ind w:left="360"/>
        <w:rPr>
          <w:rFonts w:ascii="Calibri" w:hAnsi="Calibri" w:cs="Calibri"/>
          <w:lang w:val="en-US" w:eastAsia="zh-CN"/>
        </w:rPr>
      </w:pPr>
    </w:p>
    <w:p w14:paraId="4D315B3F" w14:textId="77777777" w:rsidR="00464A3A" w:rsidRPr="00296C22" w:rsidRDefault="00464A3A" w:rsidP="00464A3A">
      <w:pPr>
        <w:pStyle w:val="ListParagraph"/>
        <w:numPr>
          <w:ilvl w:val="0"/>
          <w:numId w:val="9"/>
        </w:numPr>
        <w:spacing w:after="0" w:line="240" w:lineRule="auto"/>
        <w:ind w:left="360"/>
        <w:rPr>
          <w:rFonts w:ascii="Calibri" w:hAnsi="Calibri" w:cs="Calibri"/>
          <w:lang w:val="en-US" w:eastAsia="zh-CN"/>
        </w:rPr>
      </w:pPr>
      <w:proofErr w:type="spellStart"/>
      <w:r w:rsidRPr="00296C22">
        <w:rPr>
          <w:rFonts w:ascii="Calibri" w:hAnsi="Calibri" w:cs="Calibri"/>
          <w:b/>
          <w:bCs/>
          <w:lang w:val="en-US" w:eastAsia="zh-CN"/>
        </w:rPr>
        <w:t>CSSF</w:t>
      </w:r>
      <w:proofErr w:type="spellEnd"/>
      <w:r w:rsidRPr="00296C22">
        <w:rPr>
          <w:rFonts w:ascii="Calibri" w:hAnsi="Calibri" w:cs="Calibri"/>
          <w:b/>
          <w:bCs/>
          <w:lang w:val="en-US" w:eastAsia="zh-CN"/>
        </w:rPr>
        <w:t>:</w:t>
      </w:r>
      <w:r w:rsidRPr="00296C22">
        <w:rPr>
          <w:rFonts w:ascii="Calibri" w:hAnsi="Calibri" w:cs="Calibri"/>
          <w:lang w:val="en-US" w:eastAsia="zh-CN"/>
        </w:rPr>
        <w:t xml:space="preserve">  Luxembourg’s financial regulator. Supervises the financial sector and issues guidance and </w:t>
      </w:r>
      <w:proofErr w:type="spellStart"/>
      <w:r w:rsidRPr="00296C22">
        <w:rPr>
          <w:rFonts w:ascii="Calibri" w:hAnsi="Calibri" w:cs="Calibri"/>
          <w:lang w:val="en-US" w:eastAsia="zh-CN"/>
        </w:rPr>
        <w:t>licences</w:t>
      </w:r>
      <w:proofErr w:type="spellEnd"/>
      <w:r w:rsidRPr="00296C22">
        <w:rPr>
          <w:rFonts w:ascii="Calibri" w:hAnsi="Calibri" w:cs="Calibri"/>
          <w:lang w:val="en-US" w:eastAsia="zh-CN"/>
        </w:rPr>
        <w:t>.</w:t>
      </w:r>
      <w:r w:rsidRPr="00296C22">
        <w:rPr>
          <w:rFonts w:ascii="Calibri" w:hAnsi="Calibri" w:cs="Calibri"/>
          <w:lang w:val="en-US" w:eastAsia="zh-CN"/>
        </w:rPr>
        <w:br/>
      </w:r>
    </w:p>
    <w:p w14:paraId="79865C45" w14:textId="77777777" w:rsidR="00464A3A" w:rsidRPr="00296C22" w:rsidRDefault="00464A3A" w:rsidP="00464A3A">
      <w:pPr>
        <w:pStyle w:val="ListParagraph"/>
        <w:numPr>
          <w:ilvl w:val="0"/>
          <w:numId w:val="9"/>
        </w:numPr>
        <w:spacing w:after="0" w:line="240" w:lineRule="auto"/>
        <w:ind w:left="360"/>
        <w:rPr>
          <w:rFonts w:ascii="Calibri" w:hAnsi="Calibri" w:cs="Calibri"/>
          <w:lang w:val="en-US" w:eastAsia="zh-CN"/>
        </w:rPr>
      </w:pPr>
      <w:r w:rsidRPr="00296C22">
        <w:rPr>
          <w:rFonts w:ascii="Calibri" w:hAnsi="Calibri" w:cs="Calibri"/>
          <w:b/>
          <w:bCs/>
          <w:lang w:val="en-US" w:eastAsia="zh-CN"/>
        </w:rPr>
        <w:t>EMIR: European Market Infrastructure Regulation.</w:t>
      </w:r>
      <w:r w:rsidRPr="00296C22">
        <w:rPr>
          <w:rFonts w:ascii="Calibri" w:hAnsi="Calibri" w:cs="Calibri"/>
          <w:b/>
          <w:bCs/>
          <w:lang w:val="en-US" w:eastAsia="zh-CN"/>
        </w:rPr>
        <w:br/>
      </w:r>
      <w:r w:rsidRPr="00296C22">
        <w:rPr>
          <w:rFonts w:ascii="Calibri" w:hAnsi="Calibri" w:cs="Calibri"/>
          <w:lang w:val="en-US" w:eastAsia="zh-CN"/>
        </w:rPr>
        <w:t>The EU framework regulating OTC derivatives, central counterparties and trade repositories, aimed at increasing transparency and reducing systemic risk in derivatives markets.</w:t>
      </w:r>
    </w:p>
    <w:p w14:paraId="328EC1D9" w14:textId="77777777" w:rsidR="00464A3A" w:rsidRPr="00296C22" w:rsidRDefault="00464A3A" w:rsidP="00464A3A">
      <w:pPr>
        <w:pStyle w:val="ListParagraph"/>
        <w:ind w:left="1440"/>
        <w:rPr>
          <w:rFonts w:ascii="Calibri" w:hAnsi="Calibri" w:cs="Calibri"/>
          <w:b/>
          <w:bCs/>
          <w:lang w:val="en-US" w:eastAsia="zh-CN"/>
        </w:rPr>
      </w:pPr>
    </w:p>
    <w:p w14:paraId="5CA28104" w14:textId="77777777" w:rsidR="00464A3A" w:rsidRPr="00296C22" w:rsidRDefault="00464A3A" w:rsidP="00464A3A">
      <w:pPr>
        <w:pStyle w:val="MarginText"/>
        <w:rPr>
          <w:rFonts w:ascii="Calibri" w:hAnsi="Calibri" w:cs="Calibri"/>
        </w:rPr>
      </w:pPr>
    </w:p>
    <w:p w14:paraId="25ED553F" w14:textId="721E97DA" w:rsidR="00025E78" w:rsidRDefault="00025E78">
      <w:pPr>
        <w:rPr>
          <w:rFonts w:ascii="Times New Roman" w:eastAsia="Times New Roman" w:hAnsi="Times New Roman" w:cs="Times New Roman"/>
        </w:rPr>
      </w:pPr>
    </w:p>
    <w:sectPr w:rsidR="00025E7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4359" w14:textId="77777777" w:rsidR="00FE189A" w:rsidRDefault="00FE189A" w:rsidP="00F534BC">
      <w:pPr>
        <w:spacing w:after="0" w:line="240" w:lineRule="auto"/>
      </w:pPr>
      <w:r>
        <w:separator/>
      </w:r>
    </w:p>
  </w:endnote>
  <w:endnote w:type="continuationSeparator" w:id="0">
    <w:p w14:paraId="1020184C" w14:textId="77777777" w:rsidR="00FE189A" w:rsidRDefault="00FE189A" w:rsidP="00F5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C85D" w14:textId="77777777" w:rsidR="00F534BC" w:rsidRDefault="00F5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A81D" w14:textId="77777777" w:rsidR="00F534BC" w:rsidRDefault="00F5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AD44" w14:textId="77777777" w:rsidR="00F534BC" w:rsidRDefault="00F5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292C" w14:textId="77777777" w:rsidR="00FE189A" w:rsidRDefault="00FE189A" w:rsidP="00F534BC">
      <w:pPr>
        <w:spacing w:after="0" w:line="240" w:lineRule="auto"/>
      </w:pPr>
      <w:r>
        <w:separator/>
      </w:r>
    </w:p>
  </w:footnote>
  <w:footnote w:type="continuationSeparator" w:id="0">
    <w:p w14:paraId="1E1C713A" w14:textId="77777777" w:rsidR="00FE189A" w:rsidRDefault="00FE189A" w:rsidP="00F5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3A76" w14:textId="77777777" w:rsidR="00F534BC" w:rsidRDefault="00F5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4940" w14:textId="77777777" w:rsidR="00F534BC" w:rsidRDefault="00F53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DC2" w14:textId="77777777" w:rsidR="00F534BC" w:rsidRDefault="00F5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B1036"/>
    <w:multiLevelType w:val="hybridMultilevel"/>
    <w:tmpl w:val="3186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A6B42"/>
    <w:multiLevelType w:val="hybridMultilevel"/>
    <w:tmpl w:val="26E0A4A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35F6D"/>
    <w:multiLevelType w:val="hybridMultilevel"/>
    <w:tmpl w:val="327E8298"/>
    <w:lvl w:ilvl="0" w:tplc="856C17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B6B2D"/>
    <w:multiLevelType w:val="hybridMultilevel"/>
    <w:tmpl w:val="F550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90F2B"/>
    <w:multiLevelType w:val="multilevel"/>
    <w:tmpl w:val="3F446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434056"/>
    <w:multiLevelType w:val="hybridMultilevel"/>
    <w:tmpl w:val="D8500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B90DAC"/>
    <w:multiLevelType w:val="multilevel"/>
    <w:tmpl w:val="65A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747CD"/>
    <w:multiLevelType w:val="multilevel"/>
    <w:tmpl w:val="9F7E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628254">
    <w:abstractNumId w:val="4"/>
  </w:num>
  <w:num w:numId="2" w16cid:durableId="1173448907">
    <w:abstractNumId w:val="0"/>
  </w:num>
  <w:num w:numId="3" w16cid:durableId="355424353">
    <w:abstractNumId w:val="2"/>
  </w:num>
  <w:num w:numId="4" w16cid:durableId="762804852">
    <w:abstractNumId w:val="6"/>
  </w:num>
  <w:num w:numId="5" w16cid:durableId="1214658986">
    <w:abstractNumId w:val="7"/>
  </w:num>
  <w:num w:numId="6" w16cid:durableId="1873565192">
    <w:abstractNumId w:val="5"/>
  </w:num>
  <w:num w:numId="7" w16cid:durableId="951858143">
    <w:abstractNumId w:val="2"/>
  </w:num>
  <w:num w:numId="8" w16cid:durableId="411900563">
    <w:abstractNumId w:val="3"/>
  </w:num>
  <w:num w:numId="9" w16cid:durableId="200280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C8"/>
    <w:rsid w:val="00000165"/>
    <w:rsid w:val="00001303"/>
    <w:rsid w:val="00007DB9"/>
    <w:rsid w:val="0001177D"/>
    <w:rsid w:val="00013B11"/>
    <w:rsid w:val="00014F73"/>
    <w:rsid w:val="00017BF9"/>
    <w:rsid w:val="0002023A"/>
    <w:rsid w:val="00025E78"/>
    <w:rsid w:val="000301E8"/>
    <w:rsid w:val="000305DC"/>
    <w:rsid w:val="00031905"/>
    <w:rsid w:val="00032690"/>
    <w:rsid w:val="00032ABA"/>
    <w:rsid w:val="000331DD"/>
    <w:rsid w:val="00033B31"/>
    <w:rsid w:val="0003755E"/>
    <w:rsid w:val="00037B4B"/>
    <w:rsid w:val="00041C84"/>
    <w:rsid w:val="00042168"/>
    <w:rsid w:val="000437E8"/>
    <w:rsid w:val="00044E88"/>
    <w:rsid w:val="00046ADB"/>
    <w:rsid w:val="00052BCA"/>
    <w:rsid w:val="00053A40"/>
    <w:rsid w:val="00057418"/>
    <w:rsid w:val="0006081C"/>
    <w:rsid w:val="00060C8C"/>
    <w:rsid w:val="0006275E"/>
    <w:rsid w:val="000631AC"/>
    <w:rsid w:val="00064A4A"/>
    <w:rsid w:val="00065D27"/>
    <w:rsid w:val="00066A6E"/>
    <w:rsid w:val="00074D3B"/>
    <w:rsid w:val="000827DA"/>
    <w:rsid w:val="00082D47"/>
    <w:rsid w:val="000836C4"/>
    <w:rsid w:val="00093774"/>
    <w:rsid w:val="00093A12"/>
    <w:rsid w:val="00097383"/>
    <w:rsid w:val="000A27D9"/>
    <w:rsid w:val="000A33A2"/>
    <w:rsid w:val="000A4721"/>
    <w:rsid w:val="000B014D"/>
    <w:rsid w:val="000B2F29"/>
    <w:rsid w:val="000B4C6E"/>
    <w:rsid w:val="000B5873"/>
    <w:rsid w:val="000B6A87"/>
    <w:rsid w:val="000C0406"/>
    <w:rsid w:val="000C1F93"/>
    <w:rsid w:val="000C2445"/>
    <w:rsid w:val="000C532E"/>
    <w:rsid w:val="000C6FEE"/>
    <w:rsid w:val="000D1C04"/>
    <w:rsid w:val="000D5C47"/>
    <w:rsid w:val="000D6BE2"/>
    <w:rsid w:val="000E4211"/>
    <w:rsid w:val="000E4DAC"/>
    <w:rsid w:val="000E4FD1"/>
    <w:rsid w:val="000F566A"/>
    <w:rsid w:val="00100586"/>
    <w:rsid w:val="001022CF"/>
    <w:rsid w:val="00104EE2"/>
    <w:rsid w:val="00106082"/>
    <w:rsid w:val="001068E1"/>
    <w:rsid w:val="00107B0E"/>
    <w:rsid w:val="0011704E"/>
    <w:rsid w:val="001208DE"/>
    <w:rsid w:val="00122F88"/>
    <w:rsid w:val="00126262"/>
    <w:rsid w:val="00126BF8"/>
    <w:rsid w:val="0012767A"/>
    <w:rsid w:val="0013323B"/>
    <w:rsid w:val="00134AB0"/>
    <w:rsid w:val="001377B3"/>
    <w:rsid w:val="001413D5"/>
    <w:rsid w:val="00141AA9"/>
    <w:rsid w:val="00141C4F"/>
    <w:rsid w:val="001468B7"/>
    <w:rsid w:val="00146D3D"/>
    <w:rsid w:val="00151960"/>
    <w:rsid w:val="00153B27"/>
    <w:rsid w:val="00155B48"/>
    <w:rsid w:val="00157D78"/>
    <w:rsid w:val="001640BD"/>
    <w:rsid w:val="00171340"/>
    <w:rsid w:val="00171F3D"/>
    <w:rsid w:val="001729ED"/>
    <w:rsid w:val="00176595"/>
    <w:rsid w:val="001800F9"/>
    <w:rsid w:val="0018536D"/>
    <w:rsid w:val="00195347"/>
    <w:rsid w:val="001A0B7E"/>
    <w:rsid w:val="001A0EC1"/>
    <w:rsid w:val="001A15EA"/>
    <w:rsid w:val="001A3D43"/>
    <w:rsid w:val="001A3E0A"/>
    <w:rsid w:val="001A5905"/>
    <w:rsid w:val="001A6987"/>
    <w:rsid w:val="001A72B3"/>
    <w:rsid w:val="001A7C85"/>
    <w:rsid w:val="001B1AAC"/>
    <w:rsid w:val="001B5D31"/>
    <w:rsid w:val="001B7566"/>
    <w:rsid w:val="001B7C8C"/>
    <w:rsid w:val="001C3DDD"/>
    <w:rsid w:val="001C4622"/>
    <w:rsid w:val="001C54C0"/>
    <w:rsid w:val="001C5863"/>
    <w:rsid w:val="001D027E"/>
    <w:rsid w:val="001D0A82"/>
    <w:rsid w:val="001D53D8"/>
    <w:rsid w:val="001D6FD1"/>
    <w:rsid w:val="001E2C8D"/>
    <w:rsid w:val="001E3358"/>
    <w:rsid w:val="001E5231"/>
    <w:rsid w:val="001F16B9"/>
    <w:rsid w:val="001F2BB0"/>
    <w:rsid w:val="001F352E"/>
    <w:rsid w:val="001F453C"/>
    <w:rsid w:val="00200624"/>
    <w:rsid w:val="0020210D"/>
    <w:rsid w:val="00205197"/>
    <w:rsid w:val="0020687A"/>
    <w:rsid w:val="0020751E"/>
    <w:rsid w:val="0021039D"/>
    <w:rsid w:val="00210CBF"/>
    <w:rsid w:val="00214985"/>
    <w:rsid w:val="00216535"/>
    <w:rsid w:val="00217111"/>
    <w:rsid w:val="0022162E"/>
    <w:rsid w:val="00221E0F"/>
    <w:rsid w:val="00222896"/>
    <w:rsid w:val="002305E4"/>
    <w:rsid w:val="002307EB"/>
    <w:rsid w:val="00233C1C"/>
    <w:rsid w:val="0023556B"/>
    <w:rsid w:val="00240278"/>
    <w:rsid w:val="002460D7"/>
    <w:rsid w:val="00247656"/>
    <w:rsid w:val="00250EB5"/>
    <w:rsid w:val="00252C3D"/>
    <w:rsid w:val="00253412"/>
    <w:rsid w:val="00261D60"/>
    <w:rsid w:val="00261F6D"/>
    <w:rsid w:val="00264AAA"/>
    <w:rsid w:val="0026773B"/>
    <w:rsid w:val="00270C17"/>
    <w:rsid w:val="002728F9"/>
    <w:rsid w:val="002732B3"/>
    <w:rsid w:val="00275050"/>
    <w:rsid w:val="00280CE1"/>
    <w:rsid w:val="0028639A"/>
    <w:rsid w:val="00294A78"/>
    <w:rsid w:val="00294D13"/>
    <w:rsid w:val="00296499"/>
    <w:rsid w:val="00296C22"/>
    <w:rsid w:val="002A4BAC"/>
    <w:rsid w:val="002A567F"/>
    <w:rsid w:val="002A7B57"/>
    <w:rsid w:val="002B265D"/>
    <w:rsid w:val="002B4918"/>
    <w:rsid w:val="002C1AAD"/>
    <w:rsid w:val="002C40FE"/>
    <w:rsid w:val="002C4F65"/>
    <w:rsid w:val="002C63F9"/>
    <w:rsid w:val="002C644A"/>
    <w:rsid w:val="002C6BD6"/>
    <w:rsid w:val="002D0E57"/>
    <w:rsid w:val="002D11C9"/>
    <w:rsid w:val="002D3D9E"/>
    <w:rsid w:val="002D4A14"/>
    <w:rsid w:val="002E4FC6"/>
    <w:rsid w:val="002E5A3A"/>
    <w:rsid w:val="002E6AD7"/>
    <w:rsid w:val="002F029D"/>
    <w:rsid w:val="00301EFA"/>
    <w:rsid w:val="003035FE"/>
    <w:rsid w:val="0030571F"/>
    <w:rsid w:val="00305A56"/>
    <w:rsid w:val="0030720D"/>
    <w:rsid w:val="00310BD8"/>
    <w:rsid w:val="00313D3B"/>
    <w:rsid w:val="00316B78"/>
    <w:rsid w:val="00322635"/>
    <w:rsid w:val="00324091"/>
    <w:rsid w:val="00332F26"/>
    <w:rsid w:val="00337C4F"/>
    <w:rsid w:val="0034159D"/>
    <w:rsid w:val="0034730A"/>
    <w:rsid w:val="003478B9"/>
    <w:rsid w:val="0035112C"/>
    <w:rsid w:val="00356A22"/>
    <w:rsid w:val="003575F0"/>
    <w:rsid w:val="003600D5"/>
    <w:rsid w:val="00362DFB"/>
    <w:rsid w:val="00365B88"/>
    <w:rsid w:val="00365E54"/>
    <w:rsid w:val="00367AC0"/>
    <w:rsid w:val="003711B9"/>
    <w:rsid w:val="003772D7"/>
    <w:rsid w:val="00383349"/>
    <w:rsid w:val="00383E3E"/>
    <w:rsid w:val="00383F3F"/>
    <w:rsid w:val="00390274"/>
    <w:rsid w:val="00392FF7"/>
    <w:rsid w:val="00394F1D"/>
    <w:rsid w:val="00394F7D"/>
    <w:rsid w:val="00395325"/>
    <w:rsid w:val="003A07F0"/>
    <w:rsid w:val="003A10CA"/>
    <w:rsid w:val="003A1348"/>
    <w:rsid w:val="003A2DE0"/>
    <w:rsid w:val="003A4AE2"/>
    <w:rsid w:val="003A710D"/>
    <w:rsid w:val="003A767F"/>
    <w:rsid w:val="003B0744"/>
    <w:rsid w:val="003B0D0B"/>
    <w:rsid w:val="003B3BF0"/>
    <w:rsid w:val="003B3DA7"/>
    <w:rsid w:val="003C0A54"/>
    <w:rsid w:val="003C0E2C"/>
    <w:rsid w:val="003C499E"/>
    <w:rsid w:val="003C4CFA"/>
    <w:rsid w:val="003C7117"/>
    <w:rsid w:val="003C796D"/>
    <w:rsid w:val="003D4F84"/>
    <w:rsid w:val="003E2C19"/>
    <w:rsid w:val="003E4C69"/>
    <w:rsid w:val="003F09F9"/>
    <w:rsid w:val="003F19B1"/>
    <w:rsid w:val="003F32FD"/>
    <w:rsid w:val="003F435E"/>
    <w:rsid w:val="003F598F"/>
    <w:rsid w:val="003F73DD"/>
    <w:rsid w:val="003F7F22"/>
    <w:rsid w:val="0040048B"/>
    <w:rsid w:val="0040436A"/>
    <w:rsid w:val="00405690"/>
    <w:rsid w:val="00407C5B"/>
    <w:rsid w:val="004148E9"/>
    <w:rsid w:val="00415165"/>
    <w:rsid w:val="00420162"/>
    <w:rsid w:val="004207C5"/>
    <w:rsid w:val="00421394"/>
    <w:rsid w:val="004218F7"/>
    <w:rsid w:val="00421A01"/>
    <w:rsid w:val="00421F31"/>
    <w:rsid w:val="0042200B"/>
    <w:rsid w:val="00422428"/>
    <w:rsid w:val="00426764"/>
    <w:rsid w:val="00430835"/>
    <w:rsid w:val="00430CA2"/>
    <w:rsid w:val="004315F0"/>
    <w:rsid w:val="00434D34"/>
    <w:rsid w:val="00435AF1"/>
    <w:rsid w:val="0044032F"/>
    <w:rsid w:val="00450BE9"/>
    <w:rsid w:val="0045195D"/>
    <w:rsid w:val="00451ECC"/>
    <w:rsid w:val="00453205"/>
    <w:rsid w:val="00454C02"/>
    <w:rsid w:val="0045524F"/>
    <w:rsid w:val="0045682A"/>
    <w:rsid w:val="004569DC"/>
    <w:rsid w:val="00456EFE"/>
    <w:rsid w:val="00457354"/>
    <w:rsid w:val="00460FB1"/>
    <w:rsid w:val="004615EA"/>
    <w:rsid w:val="00464A3A"/>
    <w:rsid w:val="00466B6D"/>
    <w:rsid w:val="00470119"/>
    <w:rsid w:val="00471102"/>
    <w:rsid w:val="004724AA"/>
    <w:rsid w:val="0047556B"/>
    <w:rsid w:val="00480569"/>
    <w:rsid w:val="00480FB7"/>
    <w:rsid w:val="00483EC3"/>
    <w:rsid w:val="00494FEC"/>
    <w:rsid w:val="004951E0"/>
    <w:rsid w:val="004A0FE6"/>
    <w:rsid w:val="004A4CDD"/>
    <w:rsid w:val="004A56C7"/>
    <w:rsid w:val="004A7BB0"/>
    <w:rsid w:val="004B015B"/>
    <w:rsid w:val="004B0B0A"/>
    <w:rsid w:val="004B3502"/>
    <w:rsid w:val="004B467A"/>
    <w:rsid w:val="004B580B"/>
    <w:rsid w:val="004B5A86"/>
    <w:rsid w:val="004B6D7D"/>
    <w:rsid w:val="004B7815"/>
    <w:rsid w:val="004B7CA8"/>
    <w:rsid w:val="004C34E2"/>
    <w:rsid w:val="004C440C"/>
    <w:rsid w:val="004D2316"/>
    <w:rsid w:val="004D3F47"/>
    <w:rsid w:val="004D4E9B"/>
    <w:rsid w:val="004D7A99"/>
    <w:rsid w:val="004D7F08"/>
    <w:rsid w:val="004E3B16"/>
    <w:rsid w:val="004E41D3"/>
    <w:rsid w:val="004F1EAB"/>
    <w:rsid w:val="004F4FC8"/>
    <w:rsid w:val="004F7096"/>
    <w:rsid w:val="0050017D"/>
    <w:rsid w:val="0050271B"/>
    <w:rsid w:val="00505395"/>
    <w:rsid w:val="00506E20"/>
    <w:rsid w:val="005076BB"/>
    <w:rsid w:val="005105B3"/>
    <w:rsid w:val="00510FAE"/>
    <w:rsid w:val="0051306C"/>
    <w:rsid w:val="00517EDE"/>
    <w:rsid w:val="005203BB"/>
    <w:rsid w:val="00523D5F"/>
    <w:rsid w:val="00527480"/>
    <w:rsid w:val="00527938"/>
    <w:rsid w:val="00532D9A"/>
    <w:rsid w:val="005352A7"/>
    <w:rsid w:val="00535CE0"/>
    <w:rsid w:val="00537828"/>
    <w:rsid w:val="00545CDD"/>
    <w:rsid w:val="005466EF"/>
    <w:rsid w:val="00552CA0"/>
    <w:rsid w:val="00554403"/>
    <w:rsid w:val="0056058E"/>
    <w:rsid w:val="005611F3"/>
    <w:rsid w:val="00562E7C"/>
    <w:rsid w:val="00563BE7"/>
    <w:rsid w:val="00571C6D"/>
    <w:rsid w:val="00572463"/>
    <w:rsid w:val="00572606"/>
    <w:rsid w:val="00572DB5"/>
    <w:rsid w:val="005732C0"/>
    <w:rsid w:val="00574A5E"/>
    <w:rsid w:val="005754BF"/>
    <w:rsid w:val="00575C8A"/>
    <w:rsid w:val="00577777"/>
    <w:rsid w:val="00577A08"/>
    <w:rsid w:val="0058052D"/>
    <w:rsid w:val="005812D8"/>
    <w:rsid w:val="005830E5"/>
    <w:rsid w:val="005852A2"/>
    <w:rsid w:val="00595A72"/>
    <w:rsid w:val="005A0E35"/>
    <w:rsid w:val="005A2820"/>
    <w:rsid w:val="005A2C26"/>
    <w:rsid w:val="005A3793"/>
    <w:rsid w:val="005A4C97"/>
    <w:rsid w:val="005A5CD8"/>
    <w:rsid w:val="005A6710"/>
    <w:rsid w:val="005B2084"/>
    <w:rsid w:val="005B4462"/>
    <w:rsid w:val="005C0AAE"/>
    <w:rsid w:val="005C2529"/>
    <w:rsid w:val="005C3A16"/>
    <w:rsid w:val="005C58B9"/>
    <w:rsid w:val="005C6463"/>
    <w:rsid w:val="005D129F"/>
    <w:rsid w:val="005D1CA9"/>
    <w:rsid w:val="005D224D"/>
    <w:rsid w:val="005D4978"/>
    <w:rsid w:val="005E1716"/>
    <w:rsid w:val="005E1BE5"/>
    <w:rsid w:val="005E2412"/>
    <w:rsid w:val="005F2AA6"/>
    <w:rsid w:val="005F4D48"/>
    <w:rsid w:val="005F6B31"/>
    <w:rsid w:val="00600555"/>
    <w:rsid w:val="00606041"/>
    <w:rsid w:val="00606B1F"/>
    <w:rsid w:val="0060767B"/>
    <w:rsid w:val="00611126"/>
    <w:rsid w:val="00611979"/>
    <w:rsid w:val="00612020"/>
    <w:rsid w:val="00614674"/>
    <w:rsid w:val="00622685"/>
    <w:rsid w:val="00624561"/>
    <w:rsid w:val="0062541D"/>
    <w:rsid w:val="00633D4F"/>
    <w:rsid w:val="00633E6E"/>
    <w:rsid w:val="00636789"/>
    <w:rsid w:val="0064267E"/>
    <w:rsid w:val="00642BA4"/>
    <w:rsid w:val="0065213A"/>
    <w:rsid w:val="00654891"/>
    <w:rsid w:val="00657563"/>
    <w:rsid w:val="00660914"/>
    <w:rsid w:val="00661C36"/>
    <w:rsid w:val="00672010"/>
    <w:rsid w:val="00677144"/>
    <w:rsid w:val="0068086C"/>
    <w:rsid w:val="00682769"/>
    <w:rsid w:val="00682D50"/>
    <w:rsid w:val="00685EAE"/>
    <w:rsid w:val="006870CB"/>
    <w:rsid w:val="0069205F"/>
    <w:rsid w:val="006952CE"/>
    <w:rsid w:val="00696F9A"/>
    <w:rsid w:val="006A03AA"/>
    <w:rsid w:val="006A0AD2"/>
    <w:rsid w:val="006A10CB"/>
    <w:rsid w:val="006A12B2"/>
    <w:rsid w:val="006A3E93"/>
    <w:rsid w:val="006A7086"/>
    <w:rsid w:val="006A7AC3"/>
    <w:rsid w:val="006B413D"/>
    <w:rsid w:val="006C2212"/>
    <w:rsid w:val="006C74DB"/>
    <w:rsid w:val="006D00B6"/>
    <w:rsid w:val="006D3073"/>
    <w:rsid w:val="006E078C"/>
    <w:rsid w:val="006E58F7"/>
    <w:rsid w:val="006E7E9C"/>
    <w:rsid w:val="006F2763"/>
    <w:rsid w:val="006F5728"/>
    <w:rsid w:val="006F5947"/>
    <w:rsid w:val="006F7F37"/>
    <w:rsid w:val="0070104A"/>
    <w:rsid w:val="007074CB"/>
    <w:rsid w:val="007078BF"/>
    <w:rsid w:val="00712258"/>
    <w:rsid w:val="0071246A"/>
    <w:rsid w:val="00713785"/>
    <w:rsid w:val="00714600"/>
    <w:rsid w:val="007258E8"/>
    <w:rsid w:val="00726ED7"/>
    <w:rsid w:val="00727A21"/>
    <w:rsid w:val="007301C8"/>
    <w:rsid w:val="00733CBD"/>
    <w:rsid w:val="00737BAB"/>
    <w:rsid w:val="0074122B"/>
    <w:rsid w:val="00741D1B"/>
    <w:rsid w:val="00742039"/>
    <w:rsid w:val="007441EA"/>
    <w:rsid w:val="00744AF5"/>
    <w:rsid w:val="00745205"/>
    <w:rsid w:val="00745397"/>
    <w:rsid w:val="00745431"/>
    <w:rsid w:val="00747695"/>
    <w:rsid w:val="00747EFF"/>
    <w:rsid w:val="00750016"/>
    <w:rsid w:val="00757CDD"/>
    <w:rsid w:val="00763356"/>
    <w:rsid w:val="00774090"/>
    <w:rsid w:val="00774550"/>
    <w:rsid w:val="00774BDD"/>
    <w:rsid w:val="007824D6"/>
    <w:rsid w:val="0078262E"/>
    <w:rsid w:val="00782EB6"/>
    <w:rsid w:val="007831E7"/>
    <w:rsid w:val="00794618"/>
    <w:rsid w:val="00794B95"/>
    <w:rsid w:val="00796981"/>
    <w:rsid w:val="00796C94"/>
    <w:rsid w:val="00797BC1"/>
    <w:rsid w:val="007A31E9"/>
    <w:rsid w:val="007B1DFE"/>
    <w:rsid w:val="007B7083"/>
    <w:rsid w:val="007B7A14"/>
    <w:rsid w:val="007C1259"/>
    <w:rsid w:val="007C27F2"/>
    <w:rsid w:val="007C5021"/>
    <w:rsid w:val="007C7FE2"/>
    <w:rsid w:val="007D2535"/>
    <w:rsid w:val="007D284A"/>
    <w:rsid w:val="007D3458"/>
    <w:rsid w:val="007D46F0"/>
    <w:rsid w:val="007D5C26"/>
    <w:rsid w:val="007D6545"/>
    <w:rsid w:val="007D6AF1"/>
    <w:rsid w:val="007E0E0D"/>
    <w:rsid w:val="007E250B"/>
    <w:rsid w:val="007E5F06"/>
    <w:rsid w:val="007F057A"/>
    <w:rsid w:val="007F3BC7"/>
    <w:rsid w:val="008004D8"/>
    <w:rsid w:val="00803041"/>
    <w:rsid w:val="0080681F"/>
    <w:rsid w:val="00806BBB"/>
    <w:rsid w:val="008100AF"/>
    <w:rsid w:val="0081214F"/>
    <w:rsid w:val="00813E32"/>
    <w:rsid w:val="00814B64"/>
    <w:rsid w:val="008155A2"/>
    <w:rsid w:val="00817544"/>
    <w:rsid w:val="008200C8"/>
    <w:rsid w:val="00822026"/>
    <w:rsid w:val="00824842"/>
    <w:rsid w:val="00824BB3"/>
    <w:rsid w:val="0082636F"/>
    <w:rsid w:val="0082728B"/>
    <w:rsid w:val="00831C15"/>
    <w:rsid w:val="008326ED"/>
    <w:rsid w:val="00832CC2"/>
    <w:rsid w:val="008359D1"/>
    <w:rsid w:val="00836249"/>
    <w:rsid w:val="0083666A"/>
    <w:rsid w:val="00836816"/>
    <w:rsid w:val="00836AFE"/>
    <w:rsid w:val="00837D4C"/>
    <w:rsid w:val="00854201"/>
    <w:rsid w:val="00854941"/>
    <w:rsid w:val="00854EA2"/>
    <w:rsid w:val="00855063"/>
    <w:rsid w:val="0085648D"/>
    <w:rsid w:val="0085731A"/>
    <w:rsid w:val="00860CB4"/>
    <w:rsid w:val="00862276"/>
    <w:rsid w:val="00862BFD"/>
    <w:rsid w:val="00864215"/>
    <w:rsid w:val="00866241"/>
    <w:rsid w:val="00867382"/>
    <w:rsid w:val="00873746"/>
    <w:rsid w:val="00873C01"/>
    <w:rsid w:val="008743A4"/>
    <w:rsid w:val="00874FD6"/>
    <w:rsid w:val="00881274"/>
    <w:rsid w:val="00881FB3"/>
    <w:rsid w:val="008834B2"/>
    <w:rsid w:val="00886D4E"/>
    <w:rsid w:val="0089056F"/>
    <w:rsid w:val="0089114A"/>
    <w:rsid w:val="00892058"/>
    <w:rsid w:val="00892F66"/>
    <w:rsid w:val="00897BC8"/>
    <w:rsid w:val="008A7622"/>
    <w:rsid w:val="008B238B"/>
    <w:rsid w:val="008B4B5C"/>
    <w:rsid w:val="008B5BDF"/>
    <w:rsid w:val="008B6EB5"/>
    <w:rsid w:val="008C249D"/>
    <w:rsid w:val="008C54C5"/>
    <w:rsid w:val="008C5BAA"/>
    <w:rsid w:val="008C693C"/>
    <w:rsid w:val="008D1254"/>
    <w:rsid w:val="008D3497"/>
    <w:rsid w:val="008D3D99"/>
    <w:rsid w:val="008D6F30"/>
    <w:rsid w:val="008E3213"/>
    <w:rsid w:val="008E33FA"/>
    <w:rsid w:val="008E6228"/>
    <w:rsid w:val="008F235D"/>
    <w:rsid w:val="008F48A3"/>
    <w:rsid w:val="008F53E6"/>
    <w:rsid w:val="008F6CF0"/>
    <w:rsid w:val="0090193C"/>
    <w:rsid w:val="009052E4"/>
    <w:rsid w:val="0091451E"/>
    <w:rsid w:val="00914FFD"/>
    <w:rsid w:val="00916E71"/>
    <w:rsid w:val="0091730F"/>
    <w:rsid w:val="00925A29"/>
    <w:rsid w:val="0093261A"/>
    <w:rsid w:val="00932AAE"/>
    <w:rsid w:val="00937517"/>
    <w:rsid w:val="009404D6"/>
    <w:rsid w:val="00941995"/>
    <w:rsid w:val="00953BFB"/>
    <w:rsid w:val="0096019C"/>
    <w:rsid w:val="00962BB5"/>
    <w:rsid w:val="00963A3C"/>
    <w:rsid w:val="00963A87"/>
    <w:rsid w:val="009643DD"/>
    <w:rsid w:val="0096535A"/>
    <w:rsid w:val="009678F0"/>
    <w:rsid w:val="00970B2C"/>
    <w:rsid w:val="0097119F"/>
    <w:rsid w:val="00972F57"/>
    <w:rsid w:val="009741EB"/>
    <w:rsid w:val="00974316"/>
    <w:rsid w:val="00977D27"/>
    <w:rsid w:val="00980417"/>
    <w:rsid w:val="00981454"/>
    <w:rsid w:val="009829A8"/>
    <w:rsid w:val="00986137"/>
    <w:rsid w:val="0098728B"/>
    <w:rsid w:val="00992D10"/>
    <w:rsid w:val="00994032"/>
    <w:rsid w:val="0099672B"/>
    <w:rsid w:val="009A0810"/>
    <w:rsid w:val="009A26FE"/>
    <w:rsid w:val="009A3599"/>
    <w:rsid w:val="009A64E7"/>
    <w:rsid w:val="009A7D47"/>
    <w:rsid w:val="009C0759"/>
    <w:rsid w:val="009C3474"/>
    <w:rsid w:val="009C3994"/>
    <w:rsid w:val="009C7CBE"/>
    <w:rsid w:val="009D4563"/>
    <w:rsid w:val="009E0CC2"/>
    <w:rsid w:val="009F1670"/>
    <w:rsid w:val="009F3ED0"/>
    <w:rsid w:val="009F6222"/>
    <w:rsid w:val="009F734A"/>
    <w:rsid w:val="00A0194F"/>
    <w:rsid w:val="00A0344C"/>
    <w:rsid w:val="00A038D3"/>
    <w:rsid w:val="00A041B1"/>
    <w:rsid w:val="00A04B74"/>
    <w:rsid w:val="00A1163E"/>
    <w:rsid w:val="00A12977"/>
    <w:rsid w:val="00A13C5B"/>
    <w:rsid w:val="00A15332"/>
    <w:rsid w:val="00A17160"/>
    <w:rsid w:val="00A21D03"/>
    <w:rsid w:val="00A21F52"/>
    <w:rsid w:val="00A22FEC"/>
    <w:rsid w:val="00A24106"/>
    <w:rsid w:val="00A241C1"/>
    <w:rsid w:val="00A25CB7"/>
    <w:rsid w:val="00A26BFD"/>
    <w:rsid w:val="00A275DE"/>
    <w:rsid w:val="00A27632"/>
    <w:rsid w:val="00A277AD"/>
    <w:rsid w:val="00A33131"/>
    <w:rsid w:val="00A334E6"/>
    <w:rsid w:val="00A338AA"/>
    <w:rsid w:val="00A3543D"/>
    <w:rsid w:val="00A35EF4"/>
    <w:rsid w:val="00A36877"/>
    <w:rsid w:val="00A36E69"/>
    <w:rsid w:val="00A37D0C"/>
    <w:rsid w:val="00A40419"/>
    <w:rsid w:val="00A438B6"/>
    <w:rsid w:val="00A447C9"/>
    <w:rsid w:val="00A467E8"/>
    <w:rsid w:val="00A468B2"/>
    <w:rsid w:val="00A473E3"/>
    <w:rsid w:val="00A4771E"/>
    <w:rsid w:val="00A55A51"/>
    <w:rsid w:val="00A5633A"/>
    <w:rsid w:val="00A56486"/>
    <w:rsid w:val="00A6489B"/>
    <w:rsid w:val="00A71694"/>
    <w:rsid w:val="00A71F5C"/>
    <w:rsid w:val="00A74846"/>
    <w:rsid w:val="00A76B49"/>
    <w:rsid w:val="00A77639"/>
    <w:rsid w:val="00A806F5"/>
    <w:rsid w:val="00A82405"/>
    <w:rsid w:val="00A827AD"/>
    <w:rsid w:val="00A84C95"/>
    <w:rsid w:val="00A86997"/>
    <w:rsid w:val="00A900EB"/>
    <w:rsid w:val="00A96966"/>
    <w:rsid w:val="00AA469F"/>
    <w:rsid w:val="00AA474C"/>
    <w:rsid w:val="00AB1744"/>
    <w:rsid w:val="00AB5703"/>
    <w:rsid w:val="00AB5A6E"/>
    <w:rsid w:val="00AC01C0"/>
    <w:rsid w:val="00AC1175"/>
    <w:rsid w:val="00AC41BA"/>
    <w:rsid w:val="00AC43E3"/>
    <w:rsid w:val="00AC4423"/>
    <w:rsid w:val="00AC4A3B"/>
    <w:rsid w:val="00AC6683"/>
    <w:rsid w:val="00AD0FB2"/>
    <w:rsid w:val="00AD11B7"/>
    <w:rsid w:val="00AD1617"/>
    <w:rsid w:val="00AD1D39"/>
    <w:rsid w:val="00AD2C15"/>
    <w:rsid w:val="00AD5238"/>
    <w:rsid w:val="00AD60BF"/>
    <w:rsid w:val="00AD7D3F"/>
    <w:rsid w:val="00AE0F0C"/>
    <w:rsid w:val="00AE1F99"/>
    <w:rsid w:val="00AE3208"/>
    <w:rsid w:val="00AE5651"/>
    <w:rsid w:val="00AE5C64"/>
    <w:rsid w:val="00AE7CEC"/>
    <w:rsid w:val="00AF59CA"/>
    <w:rsid w:val="00AF7AF4"/>
    <w:rsid w:val="00B00E5D"/>
    <w:rsid w:val="00B02A0C"/>
    <w:rsid w:val="00B043C7"/>
    <w:rsid w:val="00B110B4"/>
    <w:rsid w:val="00B1495A"/>
    <w:rsid w:val="00B276B5"/>
    <w:rsid w:val="00B313F2"/>
    <w:rsid w:val="00B33B99"/>
    <w:rsid w:val="00B347C5"/>
    <w:rsid w:val="00B425A9"/>
    <w:rsid w:val="00B42751"/>
    <w:rsid w:val="00B43161"/>
    <w:rsid w:val="00B44AA8"/>
    <w:rsid w:val="00B46BC9"/>
    <w:rsid w:val="00B57246"/>
    <w:rsid w:val="00B6199B"/>
    <w:rsid w:val="00B6362C"/>
    <w:rsid w:val="00B663D6"/>
    <w:rsid w:val="00B6771D"/>
    <w:rsid w:val="00B8108F"/>
    <w:rsid w:val="00B863EC"/>
    <w:rsid w:val="00B87E03"/>
    <w:rsid w:val="00B90A21"/>
    <w:rsid w:val="00B92EA5"/>
    <w:rsid w:val="00B93FA9"/>
    <w:rsid w:val="00B943BE"/>
    <w:rsid w:val="00B97583"/>
    <w:rsid w:val="00BA12F9"/>
    <w:rsid w:val="00BA1A56"/>
    <w:rsid w:val="00BA2492"/>
    <w:rsid w:val="00BA4513"/>
    <w:rsid w:val="00BA46CC"/>
    <w:rsid w:val="00BB01D8"/>
    <w:rsid w:val="00BB25F2"/>
    <w:rsid w:val="00BB2B1B"/>
    <w:rsid w:val="00BB2BD9"/>
    <w:rsid w:val="00BB5B56"/>
    <w:rsid w:val="00BB5B5C"/>
    <w:rsid w:val="00BB5D3B"/>
    <w:rsid w:val="00BB6C5E"/>
    <w:rsid w:val="00BB72BB"/>
    <w:rsid w:val="00BB769F"/>
    <w:rsid w:val="00BB7B41"/>
    <w:rsid w:val="00BB7BC8"/>
    <w:rsid w:val="00BC01E3"/>
    <w:rsid w:val="00BC0303"/>
    <w:rsid w:val="00BC08B0"/>
    <w:rsid w:val="00BC0918"/>
    <w:rsid w:val="00BC37FD"/>
    <w:rsid w:val="00BC4D76"/>
    <w:rsid w:val="00BC62BB"/>
    <w:rsid w:val="00BC79FE"/>
    <w:rsid w:val="00BD1312"/>
    <w:rsid w:val="00BD4C84"/>
    <w:rsid w:val="00BD5B41"/>
    <w:rsid w:val="00BD6738"/>
    <w:rsid w:val="00BD6D54"/>
    <w:rsid w:val="00BE04C8"/>
    <w:rsid w:val="00BE29E6"/>
    <w:rsid w:val="00BE2FBE"/>
    <w:rsid w:val="00BF01BB"/>
    <w:rsid w:val="00BF14AA"/>
    <w:rsid w:val="00BF299F"/>
    <w:rsid w:val="00BF7F46"/>
    <w:rsid w:val="00C055C4"/>
    <w:rsid w:val="00C057CA"/>
    <w:rsid w:val="00C06032"/>
    <w:rsid w:val="00C07595"/>
    <w:rsid w:val="00C07E88"/>
    <w:rsid w:val="00C10085"/>
    <w:rsid w:val="00C11BC3"/>
    <w:rsid w:val="00C11EBC"/>
    <w:rsid w:val="00C12896"/>
    <w:rsid w:val="00C166AF"/>
    <w:rsid w:val="00C23934"/>
    <w:rsid w:val="00C23ED7"/>
    <w:rsid w:val="00C26588"/>
    <w:rsid w:val="00C27E28"/>
    <w:rsid w:val="00C3129F"/>
    <w:rsid w:val="00C33980"/>
    <w:rsid w:val="00C356C4"/>
    <w:rsid w:val="00C47677"/>
    <w:rsid w:val="00C516CA"/>
    <w:rsid w:val="00C5588E"/>
    <w:rsid w:val="00C565BE"/>
    <w:rsid w:val="00C57BCF"/>
    <w:rsid w:val="00C638A8"/>
    <w:rsid w:val="00C646C6"/>
    <w:rsid w:val="00C6646C"/>
    <w:rsid w:val="00C66774"/>
    <w:rsid w:val="00C66AB3"/>
    <w:rsid w:val="00C72658"/>
    <w:rsid w:val="00C82054"/>
    <w:rsid w:val="00C831A2"/>
    <w:rsid w:val="00C83F96"/>
    <w:rsid w:val="00C87AB2"/>
    <w:rsid w:val="00C903D7"/>
    <w:rsid w:val="00C94CC2"/>
    <w:rsid w:val="00C9579F"/>
    <w:rsid w:val="00C973C8"/>
    <w:rsid w:val="00CA0255"/>
    <w:rsid w:val="00CA0E1B"/>
    <w:rsid w:val="00CA66D8"/>
    <w:rsid w:val="00CB7092"/>
    <w:rsid w:val="00CC286B"/>
    <w:rsid w:val="00CC538B"/>
    <w:rsid w:val="00CC5C91"/>
    <w:rsid w:val="00CD5110"/>
    <w:rsid w:val="00CD7CBF"/>
    <w:rsid w:val="00CE27EF"/>
    <w:rsid w:val="00CE3338"/>
    <w:rsid w:val="00CE5741"/>
    <w:rsid w:val="00CE5CE1"/>
    <w:rsid w:val="00CE5DCB"/>
    <w:rsid w:val="00CF0C11"/>
    <w:rsid w:val="00CF227A"/>
    <w:rsid w:val="00CF3F3C"/>
    <w:rsid w:val="00CF475A"/>
    <w:rsid w:val="00CF77E8"/>
    <w:rsid w:val="00D00BF8"/>
    <w:rsid w:val="00D07593"/>
    <w:rsid w:val="00D07AC3"/>
    <w:rsid w:val="00D12BF7"/>
    <w:rsid w:val="00D1363C"/>
    <w:rsid w:val="00D160BE"/>
    <w:rsid w:val="00D20212"/>
    <w:rsid w:val="00D2217D"/>
    <w:rsid w:val="00D22A61"/>
    <w:rsid w:val="00D23956"/>
    <w:rsid w:val="00D24E8F"/>
    <w:rsid w:val="00D304E0"/>
    <w:rsid w:val="00D3599C"/>
    <w:rsid w:val="00D361C7"/>
    <w:rsid w:val="00D36B8B"/>
    <w:rsid w:val="00D37D43"/>
    <w:rsid w:val="00D41FA6"/>
    <w:rsid w:val="00D433C3"/>
    <w:rsid w:val="00D43F91"/>
    <w:rsid w:val="00D47FA7"/>
    <w:rsid w:val="00D5045F"/>
    <w:rsid w:val="00D51717"/>
    <w:rsid w:val="00D52AEE"/>
    <w:rsid w:val="00D5476B"/>
    <w:rsid w:val="00D5678E"/>
    <w:rsid w:val="00D5737C"/>
    <w:rsid w:val="00D57B77"/>
    <w:rsid w:val="00D62BBC"/>
    <w:rsid w:val="00D666B7"/>
    <w:rsid w:val="00D67921"/>
    <w:rsid w:val="00D707CC"/>
    <w:rsid w:val="00D71B4A"/>
    <w:rsid w:val="00D815F2"/>
    <w:rsid w:val="00D84945"/>
    <w:rsid w:val="00D871F5"/>
    <w:rsid w:val="00D878F1"/>
    <w:rsid w:val="00D902FB"/>
    <w:rsid w:val="00D9044E"/>
    <w:rsid w:val="00D92070"/>
    <w:rsid w:val="00D93EA4"/>
    <w:rsid w:val="00D9750C"/>
    <w:rsid w:val="00D97C2C"/>
    <w:rsid w:val="00DA2C78"/>
    <w:rsid w:val="00DA3749"/>
    <w:rsid w:val="00DAA60A"/>
    <w:rsid w:val="00DB11B1"/>
    <w:rsid w:val="00DB278A"/>
    <w:rsid w:val="00DB2906"/>
    <w:rsid w:val="00DB4E0D"/>
    <w:rsid w:val="00DB50F6"/>
    <w:rsid w:val="00DB5969"/>
    <w:rsid w:val="00DB6076"/>
    <w:rsid w:val="00DB7417"/>
    <w:rsid w:val="00DB77D8"/>
    <w:rsid w:val="00DC3D3B"/>
    <w:rsid w:val="00DC4DCA"/>
    <w:rsid w:val="00DD00B8"/>
    <w:rsid w:val="00DD3D18"/>
    <w:rsid w:val="00DD57C7"/>
    <w:rsid w:val="00DE0377"/>
    <w:rsid w:val="00DE0FE8"/>
    <w:rsid w:val="00DE4611"/>
    <w:rsid w:val="00DE627E"/>
    <w:rsid w:val="00DE7C94"/>
    <w:rsid w:val="00DF4B98"/>
    <w:rsid w:val="00DF55BF"/>
    <w:rsid w:val="00DF6776"/>
    <w:rsid w:val="00E00F61"/>
    <w:rsid w:val="00E043F4"/>
    <w:rsid w:val="00E07D43"/>
    <w:rsid w:val="00E1250B"/>
    <w:rsid w:val="00E12CB0"/>
    <w:rsid w:val="00E13CAE"/>
    <w:rsid w:val="00E15D10"/>
    <w:rsid w:val="00E20B09"/>
    <w:rsid w:val="00E25723"/>
    <w:rsid w:val="00E30A2E"/>
    <w:rsid w:val="00E30FE3"/>
    <w:rsid w:val="00E3613B"/>
    <w:rsid w:val="00E403DC"/>
    <w:rsid w:val="00E406A2"/>
    <w:rsid w:val="00E416A2"/>
    <w:rsid w:val="00E41F3A"/>
    <w:rsid w:val="00E45AFC"/>
    <w:rsid w:val="00E47009"/>
    <w:rsid w:val="00E474CD"/>
    <w:rsid w:val="00E53793"/>
    <w:rsid w:val="00E578F9"/>
    <w:rsid w:val="00E6096B"/>
    <w:rsid w:val="00E63806"/>
    <w:rsid w:val="00E65587"/>
    <w:rsid w:val="00E667A1"/>
    <w:rsid w:val="00E679CA"/>
    <w:rsid w:val="00E67E38"/>
    <w:rsid w:val="00E72064"/>
    <w:rsid w:val="00E72188"/>
    <w:rsid w:val="00E835BC"/>
    <w:rsid w:val="00E8368D"/>
    <w:rsid w:val="00E8519D"/>
    <w:rsid w:val="00E86ECA"/>
    <w:rsid w:val="00E87A15"/>
    <w:rsid w:val="00E92723"/>
    <w:rsid w:val="00E943C4"/>
    <w:rsid w:val="00E96AAB"/>
    <w:rsid w:val="00EA32BF"/>
    <w:rsid w:val="00EA35B2"/>
    <w:rsid w:val="00EA5884"/>
    <w:rsid w:val="00EA5EB6"/>
    <w:rsid w:val="00EA6686"/>
    <w:rsid w:val="00EB137F"/>
    <w:rsid w:val="00EB296F"/>
    <w:rsid w:val="00EB34DA"/>
    <w:rsid w:val="00EB36C9"/>
    <w:rsid w:val="00EB462B"/>
    <w:rsid w:val="00EB65B2"/>
    <w:rsid w:val="00EC24ED"/>
    <w:rsid w:val="00EC5DC6"/>
    <w:rsid w:val="00EC7F50"/>
    <w:rsid w:val="00ED13E6"/>
    <w:rsid w:val="00ED195A"/>
    <w:rsid w:val="00ED2C31"/>
    <w:rsid w:val="00ED7F85"/>
    <w:rsid w:val="00EE00B5"/>
    <w:rsid w:val="00EE27AD"/>
    <w:rsid w:val="00EE3866"/>
    <w:rsid w:val="00EE6A91"/>
    <w:rsid w:val="00EF0B8C"/>
    <w:rsid w:val="00EF7A6A"/>
    <w:rsid w:val="00F01A33"/>
    <w:rsid w:val="00F01DBB"/>
    <w:rsid w:val="00F02771"/>
    <w:rsid w:val="00F0398A"/>
    <w:rsid w:val="00F039C6"/>
    <w:rsid w:val="00F06A45"/>
    <w:rsid w:val="00F10CE4"/>
    <w:rsid w:val="00F157AF"/>
    <w:rsid w:val="00F1722F"/>
    <w:rsid w:val="00F20D67"/>
    <w:rsid w:val="00F21C7A"/>
    <w:rsid w:val="00F22989"/>
    <w:rsid w:val="00F346AC"/>
    <w:rsid w:val="00F43A9A"/>
    <w:rsid w:val="00F474C9"/>
    <w:rsid w:val="00F508EC"/>
    <w:rsid w:val="00F51FF2"/>
    <w:rsid w:val="00F524F2"/>
    <w:rsid w:val="00F534BC"/>
    <w:rsid w:val="00F55FE4"/>
    <w:rsid w:val="00F633BD"/>
    <w:rsid w:val="00F63BD3"/>
    <w:rsid w:val="00F64661"/>
    <w:rsid w:val="00F64B6A"/>
    <w:rsid w:val="00F70B98"/>
    <w:rsid w:val="00F73035"/>
    <w:rsid w:val="00F73BBB"/>
    <w:rsid w:val="00F77208"/>
    <w:rsid w:val="00F804B7"/>
    <w:rsid w:val="00F80EA0"/>
    <w:rsid w:val="00F82188"/>
    <w:rsid w:val="00F834B8"/>
    <w:rsid w:val="00FA061E"/>
    <w:rsid w:val="00FA37B0"/>
    <w:rsid w:val="00FA4ED7"/>
    <w:rsid w:val="00FA5D79"/>
    <w:rsid w:val="00FB3678"/>
    <w:rsid w:val="00FB412D"/>
    <w:rsid w:val="00FB4D9D"/>
    <w:rsid w:val="00FB551F"/>
    <w:rsid w:val="00FB5F38"/>
    <w:rsid w:val="00FB7341"/>
    <w:rsid w:val="00FB793F"/>
    <w:rsid w:val="00FC2155"/>
    <w:rsid w:val="00FC3D8F"/>
    <w:rsid w:val="00FD30BE"/>
    <w:rsid w:val="00FD71A8"/>
    <w:rsid w:val="00FE189A"/>
    <w:rsid w:val="00FE2159"/>
    <w:rsid w:val="00FE4502"/>
    <w:rsid w:val="00FE6623"/>
    <w:rsid w:val="00FF0FD3"/>
    <w:rsid w:val="00FF5AA5"/>
    <w:rsid w:val="00FF61CC"/>
    <w:rsid w:val="04013EE3"/>
    <w:rsid w:val="0A27B162"/>
    <w:rsid w:val="0EDFD4A9"/>
    <w:rsid w:val="0F2C0A73"/>
    <w:rsid w:val="126291E9"/>
    <w:rsid w:val="1898C908"/>
    <w:rsid w:val="1A8FAB86"/>
    <w:rsid w:val="1B1325A6"/>
    <w:rsid w:val="1FC97366"/>
    <w:rsid w:val="22216C00"/>
    <w:rsid w:val="254FA359"/>
    <w:rsid w:val="260C3549"/>
    <w:rsid w:val="273C29AA"/>
    <w:rsid w:val="2743CA4E"/>
    <w:rsid w:val="29D37AAB"/>
    <w:rsid w:val="2D35C3E3"/>
    <w:rsid w:val="2D5FFE79"/>
    <w:rsid w:val="323E5725"/>
    <w:rsid w:val="33B56BAA"/>
    <w:rsid w:val="35E4CC88"/>
    <w:rsid w:val="362C5363"/>
    <w:rsid w:val="393E6AE5"/>
    <w:rsid w:val="3DCE92E6"/>
    <w:rsid w:val="3FBCF084"/>
    <w:rsid w:val="3FCBFF15"/>
    <w:rsid w:val="407FE108"/>
    <w:rsid w:val="40F3E26D"/>
    <w:rsid w:val="449D61C3"/>
    <w:rsid w:val="44A90F42"/>
    <w:rsid w:val="45C535F0"/>
    <w:rsid w:val="45ED862B"/>
    <w:rsid w:val="49385A79"/>
    <w:rsid w:val="4B3131A5"/>
    <w:rsid w:val="4C111694"/>
    <w:rsid w:val="4C546E02"/>
    <w:rsid w:val="4ECB5FA2"/>
    <w:rsid w:val="4FB4B0A4"/>
    <w:rsid w:val="4FCBBC62"/>
    <w:rsid w:val="5120F920"/>
    <w:rsid w:val="519590C7"/>
    <w:rsid w:val="5317CD72"/>
    <w:rsid w:val="55759170"/>
    <w:rsid w:val="59B174E3"/>
    <w:rsid w:val="5A4D9031"/>
    <w:rsid w:val="5FC33D7E"/>
    <w:rsid w:val="5FFA4C18"/>
    <w:rsid w:val="6528CA12"/>
    <w:rsid w:val="668003B0"/>
    <w:rsid w:val="66E18168"/>
    <w:rsid w:val="6B79FE56"/>
    <w:rsid w:val="6B97EE21"/>
    <w:rsid w:val="6B99EDBC"/>
    <w:rsid w:val="714A818C"/>
    <w:rsid w:val="72DF10D8"/>
    <w:rsid w:val="77B5A009"/>
    <w:rsid w:val="7ACF2086"/>
    <w:rsid w:val="7D136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52D1C"/>
  <w15:chartTrackingRefBased/>
  <w15:docId w15:val="{5BBCA0BE-FBD3-4E48-AE99-BC5EED45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F0"/>
  </w:style>
  <w:style w:type="paragraph" w:styleId="Heading1">
    <w:name w:val="heading 1"/>
    <w:basedOn w:val="Normal"/>
    <w:next w:val="Normal"/>
    <w:link w:val="Heading1Char"/>
    <w:uiPriority w:val="9"/>
    <w:qFormat/>
    <w:rsid w:val="00BB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B7BC8"/>
    <w:rPr>
      <w:rFonts w:eastAsiaTheme="majorEastAsia" w:cstheme="majorBidi"/>
      <w:color w:val="0F4761" w:themeColor="accent1" w:themeShade="BF"/>
      <w:sz w:val="28"/>
      <w:szCs w:val="28"/>
    </w:rPr>
  </w:style>
  <w:style w:type="character" w:customStyle="1" w:styleId="Heading9Char">
    <w:name w:val="Heading 9 Char"/>
    <w:basedOn w:val="DefaultParagraphFont"/>
    <w:link w:val="Heading9"/>
    <w:uiPriority w:val="9"/>
    <w:semiHidden/>
    <w:rsid w:val="00BB7BC8"/>
    <w:rPr>
      <w:rFonts w:eastAsiaTheme="majorEastAsia" w:cstheme="majorBidi"/>
      <w:color w:val="272727" w:themeColor="text1" w:themeTint="D8"/>
    </w:rPr>
  </w:style>
  <w:style w:type="character" w:customStyle="1" w:styleId="BodyTextChar">
    <w:name w:val="Body Text Char"/>
    <w:basedOn w:val="DefaultParagraphFont"/>
    <w:link w:val="BodyText"/>
    <w:uiPriority w:val="99"/>
    <w:semiHidden/>
    <w:rsid w:val="00AD5238"/>
    <w:rPr>
      <w:color w:val="000000" w:themeColor="text1"/>
      <w:sz w:val="18"/>
      <w:szCs w:val="20"/>
    </w:rPr>
  </w:style>
  <w:style w:type="character" w:styleId="IntenseReference">
    <w:name w:val="Intense Reference"/>
    <w:basedOn w:val="DefaultParagraphFont"/>
    <w:uiPriority w:val="32"/>
    <w:qFormat/>
    <w:rsid w:val="00BB7BC8"/>
    <w:rPr>
      <w:b/>
      <w:bCs/>
      <w:smallCaps/>
      <w:color w:val="0F4761" w:themeColor="accent1" w:themeShade="BF"/>
      <w:spacing w:val="5"/>
    </w:rPr>
  </w:style>
  <w:style w:type="character" w:styleId="IntenseEmphasis">
    <w:name w:val="Intense Emphasis"/>
    <w:basedOn w:val="DefaultParagraphFont"/>
    <w:uiPriority w:val="21"/>
    <w:qFormat/>
    <w:rsid w:val="00BB7BC8"/>
    <w:rPr>
      <w:i/>
      <w:iCs/>
      <w:color w:val="0F4761" w:themeColor="accent1" w:themeShade="BF"/>
    </w:rPr>
  </w:style>
  <w:style w:type="paragraph" w:customStyle="1" w:styleId="TableTextLeft">
    <w:name w:val="~TableTextLeft"/>
    <w:basedOn w:val="Normal"/>
    <w:qFormat/>
    <w:rsid w:val="00660914"/>
    <w:pPr>
      <w:spacing w:before="40" w:after="20" w:line="276" w:lineRule="auto"/>
    </w:pPr>
    <w:rPr>
      <w:color w:val="000000" w:themeColor="text1"/>
      <w:sz w:val="18"/>
      <w:szCs w:val="20"/>
    </w:rPr>
  </w:style>
  <w:style w:type="character" w:styleId="Hyperlink">
    <w:name w:val="Hyperlink"/>
    <w:basedOn w:val="DefaultParagraphFont"/>
    <w:uiPriority w:val="99"/>
    <w:unhideWhenUsed/>
    <w:rsid w:val="00BB7BC8"/>
    <w:rPr>
      <w:color w:val="467886" w:themeColor="hyperlink"/>
      <w:u w:val="single"/>
    </w:rPr>
  </w:style>
  <w:style w:type="character" w:customStyle="1" w:styleId="Heading6Char">
    <w:name w:val="Heading 6 Char"/>
    <w:basedOn w:val="DefaultParagraphFont"/>
    <w:link w:val="Heading6"/>
    <w:uiPriority w:val="9"/>
    <w:semiHidden/>
    <w:rsid w:val="00BB7BC8"/>
    <w:rPr>
      <w:rFonts w:eastAsiaTheme="majorEastAsia" w:cstheme="majorBidi"/>
      <w:i/>
      <w:iCs/>
      <w:color w:val="595959" w:themeColor="text1" w:themeTint="A6"/>
    </w:rPr>
  </w:style>
  <w:style w:type="character" w:customStyle="1" w:styleId="Heading1Char">
    <w:name w:val="Heading 1 Char"/>
    <w:basedOn w:val="DefaultParagraphFont"/>
    <w:link w:val="Heading1"/>
    <w:uiPriority w:val="9"/>
    <w:rsid w:val="00BB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C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B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C8"/>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BB7BC8"/>
    <w:rPr>
      <w:rFonts w:eastAsiaTheme="majorEastAsia" w:cstheme="majorBidi"/>
      <w:color w:val="595959" w:themeColor="text1" w:themeTint="A6"/>
    </w:rPr>
  </w:style>
  <w:style w:type="paragraph" w:styleId="Title">
    <w:name w:val="Title"/>
    <w:basedOn w:val="Normal"/>
    <w:next w:val="Normal"/>
    <w:link w:val="TitleChar"/>
    <w:uiPriority w:val="10"/>
    <w:qFormat/>
    <w:rsid w:val="00BB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BB7BC8"/>
    <w:rPr>
      <w:rFonts w:eastAsiaTheme="majorEastAsia" w:cstheme="majorBidi"/>
      <w:i/>
      <w:iCs/>
      <w:color w:val="272727" w:themeColor="text1" w:themeTint="D8"/>
    </w:rPr>
  </w:style>
  <w:style w:type="character" w:customStyle="1" w:styleId="TitleChar">
    <w:name w:val="Title Char"/>
    <w:basedOn w:val="DefaultParagraphFont"/>
    <w:link w:val="Title"/>
    <w:uiPriority w:val="10"/>
    <w:rsid w:val="00BB7BC8"/>
    <w:rPr>
      <w:rFonts w:asciiTheme="majorHAnsi" w:eastAsiaTheme="majorEastAsia" w:hAnsiTheme="majorHAnsi" w:cstheme="majorBidi"/>
      <w:spacing w:val="-10"/>
      <w:kern w:val="28"/>
      <w:sz w:val="56"/>
      <w:szCs w:val="56"/>
    </w:rPr>
  </w:style>
  <w:style w:type="character" w:customStyle="1" w:styleId="IntenseQuoteChar">
    <w:name w:val="Intense Quote Char"/>
    <w:basedOn w:val="DefaultParagraphFont"/>
    <w:link w:val="IntenseQuote"/>
    <w:uiPriority w:val="30"/>
    <w:rsid w:val="00BB7BC8"/>
    <w:rPr>
      <w:i/>
      <w:iCs/>
      <w:color w:val="0F4761" w:themeColor="accent1" w:themeShade="BF"/>
    </w:rPr>
  </w:style>
  <w:style w:type="paragraph" w:styleId="Subtitle">
    <w:name w:val="Subtitle"/>
    <w:basedOn w:val="Normal"/>
    <w:next w:val="Normal"/>
    <w:link w:val="SubtitleChar"/>
    <w:uiPriority w:val="11"/>
    <w:qFormat/>
    <w:rsid w:val="00BB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C8"/>
    <w:pPr>
      <w:spacing w:before="160"/>
      <w:jc w:val="center"/>
    </w:pPr>
    <w:rPr>
      <w:i/>
      <w:iCs/>
      <w:color w:val="404040" w:themeColor="text1" w:themeTint="BF"/>
    </w:rPr>
  </w:style>
  <w:style w:type="character" w:customStyle="1" w:styleId="QuoteChar">
    <w:name w:val="Quote Char"/>
    <w:basedOn w:val="DefaultParagraphFont"/>
    <w:link w:val="Quote"/>
    <w:uiPriority w:val="29"/>
    <w:rsid w:val="00BB7BC8"/>
    <w:rPr>
      <w:i/>
      <w:iCs/>
      <w:color w:val="404040" w:themeColor="text1" w:themeTint="BF"/>
    </w:rPr>
  </w:style>
  <w:style w:type="paragraph" w:styleId="IntenseQuote">
    <w:name w:val="Intense Quote"/>
    <w:basedOn w:val="Normal"/>
    <w:next w:val="Normal"/>
    <w:link w:val="IntenseQuoteChar"/>
    <w:uiPriority w:val="30"/>
    <w:qFormat/>
    <w:rsid w:val="00BB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00BB7BC8"/>
    <w:pPr>
      <w:ind w:left="720"/>
      <w:contextualSpacing/>
    </w:pPr>
  </w:style>
  <w:style w:type="character" w:styleId="UnresolvedMention">
    <w:name w:val="Unresolved Mention"/>
    <w:basedOn w:val="DefaultParagraphFont"/>
    <w:uiPriority w:val="99"/>
    <w:semiHidden/>
    <w:unhideWhenUsed/>
    <w:rsid w:val="00BB7BC8"/>
    <w:rPr>
      <w:color w:val="605E5C"/>
      <w:shd w:val="clear" w:color="auto" w:fill="E1DFDD"/>
    </w:rPr>
  </w:style>
  <w:style w:type="character" w:styleId="CommentReference">
    <w:name w:val="annotation reference"/>
    <w:uiPriority w:val="99"/>
    <w:semiHidden/>
    <w:unhideWhenUsed/>
    <w:rsid w:val="00BB7BC8"/>
    <w:rPr>
      <w:sz w:val="16"/>
      <w:szCs w:val="16"/>
    </w:rPr>
  </w:style>
  <w:style w:type="paragraph" w:styleId="CommentText">
    <w:name w:val="annotation text"/>
    <w:basedOn w:val="Normal"/>
    <w:link w:val="CommentTextChar"/>
    <w:uiPriority w:val="99"/>
    <w:unhideWhenUsed/>
    <w:rsid w:val="00BB7BC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E4FD1"/>
    <w:rPr>
      <w:color w:val="96607D" w:themeColor="followedHyperlink"/>
      <w:u w:val="single"/>
    </w:rPr>
  </w:style>
  <w:style w:type="character" w:customStyle="1" w:styleId="CommentTextChar">
    <w:name w:val="Comment Text Char"/>
    <w:basedOn w:val="DefaultParagraphFont"/>
    <w:link w:val="CommentText"/>
    <w:uiPriority w:val="99"/>
    <w:rsid w:val="00BB7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01E3"/>
    <w:pPr>
      <w:widowControl/>
      <w:overflowPunct/>
      <w:autoSpaceDE/>
      <w:autoSpaceDN/>
      <w:adjustRightInd/>
      <w:spacing w:after="16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01E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53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4BC"/>
  </w:style>
  <w:style w:type="paragraph" w:styleId="Footer">
    <w:name w:val="footer"/>
    <w:basedOn w:val="Normal"/>
    <w:link w:val="FooterChar"/>
    <w:uiPriority w:val="99"/>
    <w:unhideWhenUsed/>
    <w:rsid w:val="00F53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4BC"/>
  </w:style>
  <w:style w:type="paragraph" w:styleId="Revision">
    <w:name w:val="Revision"/>
    <w:hidden/>
    <w:uiPriority w:val="99"/>
    <w:semiHidden/>
    <w:rsid w:val="00F534BC"/>
    <w:pPr>
      <w:spacing w:after="0" w:line="240" w:lineRule="auto"/>
    </w:pPr>
  </w:style>
  <w:style w:type="paragraph" w:styleId="NormalWeb">
    <w:name w:val="Normal (Web)"/>
    <w:basedOn w:val="Normal"/>
    <w:uiPriority w:val="99"/>
    <w:semiHidden/>
    <w:unhideWhenUsed/>
    <w:rsid w:val="00BA1A56"/>
    <w:rPr>
      <w:rFonts w:ascii="Times New Roman" w:hAnsi="Times New Roman" w:cs="Times New Roman"/>
      <w:sz w:val="24"/>
      <w:szCs w:val="24"/>
    </w:rPr>
  </w:style>
  <w:style w:type="paragraph" w:styleId="BodyText">
    <w:name w:val="Body Text"/>
    <w:basedOn w:val="Normal"/>
    <w:link w:val="BodyTextChar"/>
    <w:uiPriority w:val="99"/>
    <w:semiHidden/>
    <w:rsid w:val="00AD5238"/>
    <w:pPr>
      <w:spacing w:after="120" w:line="276" w:lineRule="auto"/>
    </w:pPr>
    <w:rPr>
      <w:color w:val="000000" w:themeColor="text1"/>
      <w:sz w:val="18"/>
      <w:szCs w:val="20"/>
    </w:rPr>
  </w:style>
  <w:style w:type="paragraph" w:customStyle="1" w:styleId="MarginText">
    <w:name w:val="Margin Text"/>
    <w:basedOn w:val="Normal"/>
    <w:link w:val="MarginTextChar"/>
    <w:qFormat/>
    <w:rsid w:val="00464A3A"/>
    <w:pPr>
      <w:adjustRightInd w:val="0"/>
      <w:spacing w:after="24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rsid w:val="00464A3A"/>
    <w:rPr>
      <w:rFonts w:ascii="Arial" w:eastAsia="STZhongsong" w:hAnsi="Arial" w:cs="Times New Roman"/>
      <w:sz w:val="20"/>
      <w:szCs w:val="20"/>
      <w:lang w:eastAsia="zh-CN"/>
    </w:rPr>
  </w:style>
  <w:style w:type="paragraph" w:customStyle="1" w:styleId="Subhead">
    <w:name w:val="Subhead"/>
    <w:rsid w:val="00464A3A"/>
    <w:pPr>
      <w:autoSpaceDE w:val="0"/>
      <w:autoSpaceDN w:val="0"/>
      <w:adjustRightInd w:val="0"/>
      <w:spacing w:after="120" w:line="240" w:lineRule="auto"/>
    </w:pPr>
    <w:rPr>
      <w:rFonts w:asciiTheme="majorHAnsi" w:eastAsia="Times New Roman" w:hAnsiTheme="majorHAnsi" w:cs="Arial"/>
      <w:b/>
      <w:color w:val="0070C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6811">
      <w:bodyDiv w:val="1"/>
      <w:marLeft w:val="0"/>
      <w:marRight w:val="0"/>
      <w:marTop w:val="0"/>
      <w:marBottom w:val="0"/>
      <w:divBdr>
        <w:top w:val="none" w:sz="0" w:space="0" w:color="auto"/>
        <w:left w:val="none" w:sz="0" w:space="0" w:color="auto"/>
        <w:bottom w:val="none" w:sz="0" w:space="0" w:color="auto"/>
        <w:right w:val="none" w:sz="0" w:space="0" w:color="auto"/>
      </w:divBdr>
    </w:div>
    <w:div w:id="124543009">
      <w:bodyDiv w:val="1"/>
      <w:marLeft w:val="0"/>
      <w:marRight w:val="0"/>
      <w:marTop w:val="0"/>
      <w:marBottom w:val="0"/>
      <w:divBdr>
        <w:top w:val="none" w:sz="0" w:space="0" w:color="auto"/>
        <w:left w:val="none" w:sz="0" w:space="0" w:color="auto"/>
        <w:bottom w:val="none" w:sz="0" w:space="0" w:color="auto"/>
        <w:right w:val="none" w:sz="0" w:space="0" w:color="auto"/>
      </w:divBdr>
    </w:div>
    <w:div w:id="351763905">
      <w:bodyDiv w:val="1"/>
      <w:marLeft w:val="0"/>
      <w:marRight w:val="0"/>
      <w:marTop w:val="0"/>
      <w:marBottom w:val="0"/>
      <w:divBdr>
        <w:top w:val="none" w:sz="0" w:space="0" w:color="auto"/>
        <w:left w:val="none" w:sz="0" w:space="0" w:color="auto"/>
        <w:bottom w:val="none" w:sz="0" w:space="0" w:color="auto"/>
        <w:right w:val="none" w:sz="0" w:space="0" w:color="auto"/>
      </w:divBdr>
    </w:div>
    <w:div w:id="444811485">
      <w:bodyDiv w:val="1"/>
      <w:marLeft w:val="0"/>
      <w:marRight w:val="0"/>
      <w:marTop w:val="0"/>
      <w:marBottom w:val="0"/>
      <w:divBdr>
        <w:top w:val="none" w:sz="0" w:space="0" w:color="auto"/>
        <w:left w:val="none" w:sz="0" w:space="0" w:color="auto"/>
        <w:bottom w:val="none" w:sz="0" w:space="0" w:color="auto"/>
        <w:right w:val="none" w:sz="0" w:space="0" w:color="auto"/>
      </w:divBdr>
    </w:div>
    <w:div w:id="459349643">
      <w:bodyDiv w:val="1"/>
      <w:marLeft w:val="0"/>
      <w:marRight w:val="0"/>
      <w:marTop w:val="0"/>
      <w:marBottom w:val="0"/>
      <w:divBdr>
        <w:top w:val="none" w:sz="0" w:space="0" w:color="auto"/>
        <w:left w:val="none" w:sz="0" w:space="0" w:color="auto"/>
        <w:bottom w:val="none" w:sz="0" w:space="0" w:color="auto"/>
        <w:right w:val="none" w:sz="0" w:space="0" w:color="auto"/>
      </w:divBdr>
    </w:div>
    <w:div w:id="487671322">
      <w:bodyDiv w:val="1"/>
      <w:marLeft w:val="0"/>
      <w:marRight w:val="0"/>
      <w:marTop w:val="0"/>
      <w:marBottom w:val="0"/>
      <w:divBdr>
        <w:top w:val="none" w:sz="0" w:space="0" w:color="auto"/>
        <w:left w:val="none" w:sz="0" w:space="0" w:color="auto"/>
        <w:bottom w:val="none" w:sz="0" w:space="0" w:color="auto"/>
        <w:right w:val="none" w:sz="0" w:space="0" w:color="auto"/>
      </w:divBdr>
    </w:div>
    <w:div w:id="532117188">
      <w:bodyDiv w:val="1"/>
      <w:marLeft w:val="0"/>
      <w:marRight w:val="0"/>
      <w:marTop w:val="0"/>
      <w:marBottom w:val="0"/>
      <w:divBdr>
        <w:top w:val="none" w:sz="0" w:space="0" w:color="auto"/>
        <w:left w:val="none" w:sz="0" w:space="0" w:color="auto"/>
        <w:bottom w:val="none" w:sz="0" w:space="0" w:color="auto"/>
        <w:right w:val="none" w:sz="0" w:space="0" w:color="auto"/>
      </w:divBdr>
    </w:div>
    <w:div w:id="539512573">
      <w:bodyDiv w:val="1"/>
      <w:marLeft w:val="0"/>
      <w:marRight w:val="0"/>
      <w:marTop w:val="0"/>
      <w:marBottom w:val="0"/>
      <w:divBdr>
        <w:top w:val="none" w:sz="0" w:space="0" w:color="auto"/>
        <w:left w:val="none" w:sz="0" w:space="0" w:color="auto"/>
        <w:bottom w:val="none" w:sz="0" w:space="0" w:color="auto"/>
        <w:right w:val="none" w:sz="0" w:space="0" w:color="auto"/>
      </w:divBdr>
    </w:div>
    <w:div w:id="654801923">
      <w:bodyDiv w:val="1"/>
      <w:marLeft w:val="0"/>
      <w:marRight w:val="0"/>
      <w:marTop w:val="0"/>
      <w:marBottom w:val="0"/>
      <w:divBdr>
        <w:top w:val="none" w:sz="0" w:space="0" w:color="auto"/>
        <w:left w:val="none" w:sz="0" w:space="0" w:color="auto"/>
        <w:bottom w:val="none" w:sz="0" w:space="0" w:color="auto"/>
        <w:right w:val="none" w:sz="0" w:space="0" w:color="auto"/>
      </w:divBdr>
    </w:div>
    <w:div w:id="947274261">
      <w:bodyDiv w:val="1"/>
      <w:marLeft w:val="0"/>
      <w:marRight w:val="0"/>
      <w:marTop w:val="0"/>
      <w:marBottom w:val="0"/>
      <w:divBdr>
        <w:top w:val="none" w:sz="0" w:space="0" w:color="auto"/>
        <w:left w:val="none" w:sz="0" w:space="0" w:color="auto"/>
        <w:bottom w:val="none" w:sz="0" w:space="0" w:color="auto"/>
        <w:right w:val="none" w:sz="0" w:space="0" w:color="auto"/>
      </w:divBdr>
    </w:div>
    <w:div w:id="1101609438">
      <w:bodyDiv w:val="1"/>
      <w:marLeft w:val="0"/>
      <w:marRight w:val="0"/>
      <w:marTop w:val="0"/>
      <w:marBottom w:val="0"/>
      <w:divBdr>
        <w:top w:val="none" w:sz="0" w:space="0" w:color="auto"/>
        <w:left w:val="none" w:sz="0" w:space="0" w:color="auto"/>
        <w:bottom w:val="none" w:sz="0" w:space="0" w:color="auto"/>
        <w:right w:val="none" w:sz="0" w:space="0" w:color="auto"/>
      </w:divBdr>
    </w:div>
    <w:div w:id="1621454967">
      <w:bodyDiv w:val="1"/>
      <w:marLeft w:val="0"/>
      <w:marRight w:val="0"/>
      <w:marTop w:val="0"/>
      <w:marBottom w:val="0"/>
      <w:divBdr>
        <w:top w:val="none" w:sz="0" w:space="0" w:color="auto"/>
        <w:left w:val="none" w:sz="0" w:space="0" w:color="auto"/>
        <w:bottom w:val="none" w:sz="0" w:space="0" w:color="auto"/>
        <w:right w:val="none" w:sz="0" w:space="0" w:color="auto"/>
      </w:divBdr>
    </w:div>
    <w:div w:id="1665745690">
      <w:bodyDiv w:val="1"/>
      <w:marLeft w:val="0"/>
      <w:marRight w:val="0"/>
      <w:marTop w:val="0"/>
      <w:marBottom w:val="0"/>
      <w:divBdr>
        <w:top w:val="none" w:sz="0" w:space="0" w:color="auto"/>
        <w:left w:val="none" w:sz="0" w:space="0" w:color="auto"/>
        <w:bottom w:val="none" w:sz="0" w:space="0" w:color="auto"/>
        <w:right w:val="none" w:sz="0" w:space="0" w:color="auto"/>
      </w:divBdr>
    </w:div>
    <w:div w:id="1739982897">
      <w:bodyDiv w:val="1"/>
      <w:marLeft w:val="0"/>
      <w:marRight w:val="0"/>
      <w:marTop w:val="0"/>
      <w:marBottom w:val="0"/>
      <w:divBdr>
        <w:top w:val="none" w:sz="0" w:space="0" w:color="auto"/>
        <w:left w:val="none" w:sz="0" w:space="0" w:color="auto"/>
        <w:bottom w:val="none" w:sz="0" w:space="0" w:color="auto"/>
        <w:right w:val="none" w:sz="0" w:space="0" w:color="auto"/>
      </w:divBdr>
    </w:div>
    <w:div w:id="1985818329">
      <w:bodyDiv w:val="1"/>
      <w:marLeft w:val="0"/>
      <w:marRight w:val="0"/>
      <w:marTop w:val="0"/>
      <w:marBottom w:val="0"/>
      <w:divBdr>
        <w:top w:val="none" w:sz="0" w:space="0" w:color="auto"/>
        <w:left w:val="none" w:sz="0" w:space="0" w:color="auto"/>
        <w:bottom w:val="none" w:sz="0" w:space="0" w:color="auto"/>
        <w:right w:val="none" w:sz="0" w:space="0" w:color="auto"/>
      </w:divBdr>
    </w:div>
    <w:div w:id="2135443305">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piper.com/en/news/2026/01/dla-piper-advises-on-eur340-million-investment-into-innovation-campus" TargetMode="External"/><Relationship Id="rId18" Type="http://schemas.openxmlformats.org/officeDocument/2006/relationships/hyperlink" Target="https://www.dlapipe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lapiper.com/en/news/2025/10/dla-piper-advises-danaher-on-chf1-25-billion-bond-offering" TargetMode="External"/><Relationship Id="rId17" Type="http://schemas.openxmlformats.org/officeDocument/2006/relationships/hyperlink" Target="https://www.dlapiper.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lapiper.com/en/about-us/pro-bon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apiper.com/en/news/2025/09/banco-santander-funds-eur1-4-billion-to-leading-flexible-payments-provider-klarn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lapiper.com/en/locati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tephanie.leclercq@dlapip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apiper.com/en/capabiliti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66552-7225-4418-a622-e4fd7fffe4f5">
      <Terms xmlns="http://schemas.microsoft.com/office/infopath/2007/PartnerControls"/>
    </lcf76f155ced4ddcb4097134ff3c332f>
    <TaxCatchAll xmlns="bdac5e28-743f-40c7-8556-e44fae891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B2115F5FA304DA79457F5A95FECF2" ma:contentTypeVersion="15" ma:contentTypeDescription="Create a new document." ma:contentTypeScope="" ma:versionID="d9f237e5ccd0d90787054b14fe7ba128">
  <xsd:schema xmlns:xsd="http://www.w3.org/2001/XMLSchema" xmlns:xs="http://www.w3.org/2001/XMLSchema" xmlns:p="http://schemas.microsoft.com/office/2006/metadata/properties" xmlns:ns2="67c66552-7225-4418-a622-e4fd7fffe4f5" xmlns:ns3="bdac5e28-743f-40c7-8556-e44fae8913bb" targetNamespace="http://schemas.microsoft.com/office/2006/metadata/properties" ma:root="true" ma:fieldsID="1e1d013eb93e19baa8de4324e16279bd" ns2:_="" ns3:_="">
    <xsd:import namespace="67c66552-7225-4418-a622-e4fd7fffe4f5"/>
    <xsd:import namespace="bdac5e28-743f-40c7-8556-e44fae8913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66552-7225-4418-a622-e4fd7fffe4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968b4f-f7e8-4b6a-a5e6-ba384c52e7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c5e28-743f-40c7-8556-e44fae8913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4adaff-a10e-4daf-8854-f43b2531381a}" ma:internalName="TaxCatchAll" ma:showField="CatchAllData" ma:web="bdac5e28-743f-40c7-8556-e44fae8913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1F788-4594-4F04-B517-12FBE70A5202}">
  <ds:schemaRefs>
    <ds:schemaRef ds:uri="http://schemas.microsoft.com/office/2006/metadata/properties"/>
    <ds:schemaRef ds:uri="http://schemas.microsoft.com/office/infopath/2007/PartnerControls"/>
    <ds:schemaRef ds:uri="67c66552-7225-4418-a622-e4fd7fffe4f5"/>
    <ds:schemaRef ds:uri="bdac5e28-743f-40c7-8556-e44fae8913bb"/>
  </ds:schemaRefs>
</ds:datastoreItem>
</file>

<file path=customXml/itemProps2.xml><?xml version="1.0" encoding="utf-8"?>
<ds:datastoreItem xmlns:ds="http://schemas.openxmlformats.org/officeDocument/2006/customXml" ds:itemID="{D87817DE-7D53-4DF9-9958-CDCB50FA2CD6}">
  <ds:schemaRefs>
    <ds:schemaRef ds:uri="http://schemas.openxmlformats.org/officeDocument/2006/bibliography"/>
  </ds:schemaRefs>
</ds:datastoreItem>
</file>

<file path=customXml/itemProps3.xml><?xml version="1.0" encoding="utf-8"?>
<ds:datastoreItem xmlns:ds="http://schemas.openxmlformats.org/officeDocument/2006/customXml" ds:itemID="{1559A08F-964D-4523-A030-DF1A655FFC98}">
  <ds:schemaRefs>
    <ds:schemaRef ds:uri="http://schemas.microsoft.com/sharepoint/v3/contenttype/forms"/>
  </ds:schemaRefs>
</ds:datastoreItem>
</file>

<file path=customXml/itemProps4.xml><?xml version="1.0" encoding="utf-8"?>
<ds:datastoreItem xmlns:ds="http://schemas.openxmlformats.org/officeDocument/2006/customXml" ds:itemID="{9FAB9599-4602-4662-9747-786C4AC1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66552-7225-4418-a622-e4fd7fffe4f5"/>
    <ds:schemaRef ds:uri="bdac5e28-743f-40c7-8556-e44fae891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897</Words>
  <Characters>6218</Characters>
  <Application>Microsoft Office Word</Application>
  <DocSecurity>0</DocSecurity>
  <Lines>121</Lines>
  <Paragraphs>46</Paragraphs>
  <ScaleCrop>false</ScaleCrop>
  <Company/>
  <LinksUpToDate>false</LinksUpToDate>
  <CharactersWithSpaces>7069</CharactersWithSpaces>
  <SharedDoc>false</SharedDoc>
  <HLinks>
    <vt:vector size="120" baseType="variant">
      <vt:variant>
        <vt:i4>3473476</vt:i4>
      </vt:variant>
      <vt:variant>
        <vt:i4>54</vt:i4>
      </vt:variant>
      <vt:variant>
        <vt:i4>0</vt:i4>
      </vt:variant>
      <vt:variant>
        <vt:i4>5</vt:i4>
      </vt:variant>
      <vt:variant>
        <vt:lpwstr>mailto:Suraj.Mashru@dlapiper.com</vt:lpwstr>
      </vt:variant>
      <vt:variant>
        <vt:lpwstr/>
      </vt:variant>
      <vt:variant>
        <vt:i4>5767176</vt:i4>
      </vt:variant>
      <vt:variant>
        <vt:i4>51</vt:i4>
      </vt:variant>
      <vt:variant>
        <vt:i4>0</vt:i4>
      </vt:variant>
      <vt:variant>
        <vt:i4>5</vt:i4>
      </vt:variant>
      <vt:variant>
        <vt:lpwstr>https://www.dlapiper.com/</vt:lpwstr>
      </vt:variant>
      <vt:variant>
        <vt:lpwstr/>
      </vt:variant>
      <vt:variant>
        <vt:i4>5767176</vt:i4>
      </vt:variant>
      <vt:variant>
        <vt:i4>48</vt:i4>
      </vt:variant>
      <vt:variant>
        <vt:i4>0</vt:i4>
      </vt:variant>
      <vt:variant>
        <vt:i4>5</vt:i4>
      </vt:variant>
      <vt:variant>
        <vt:lpwstr>https://www.dlapiper.com/</vt:lpwstr>
      </vt:variant>
      <vt:variant>
        <vt:lpwstr/>
      </vt:variant>
      <vt:variant>
        <vt:i4>4718681</vt:i4>
      </vt:variant>
      <vt:variant>
        <vt:i4>45</vt:i4>
      </vt:variant>
      <vt:variant>
        <vt:i4>0</vt:i4>
      </vt:variant>
      <vt:variant>
        <vt:i4>5</vt:i4>
      </vt:variant>
      <vt:variant>
        <vt:lpwstr>https://www.dlapiper.com/en/about-us/pro-bono</vt:lpwstr>
      </vt:variant>
      <vt:variant>
        <vt:lpwstr/>
      </vt:variant>
      <vt:variant>
        <vt:i4>1769565</vt:i4>
      </vt:variant>
      <vt:variant>
        <vt:i4>42</vt:i4>
      </vt:variant>
      <vt:variant>
        <vt:i4>0</vt:i4>
      </vt:variant>
      <vt:variant>
        <vt:i4>5</vt:i4>
      </vt:variant>
      <vt:variant>
        <vt:lpwstr>https://www.dlapiper.com/en/locations</vt:lpwstr>
      </vt:variant>
      <vt:variant>
        <vt:lpwstr/>
      </vt:variant>
      <vt:variant>
        <vt:i4>524357</vt:i4>
      </vt:variant>
      <vt:variant>
        <vt:i4>39</vt:i4>
      </vt:variant>
      <vt:variant>
        <vt:i4>0</vt:i4>
      </vt:variant>
      <vt:variant>
        <vt:i4>5</vt:i4>
      </vt:variant>
      <vt:variant>
        <vt:lpwstr>https://www.dlapiper.com/en/capabilities</vt:lpwstr>
      </vt:variant>
      <vt:variant>
        <vt:lpwstr/>
      </vt:variant>
      <vt:variant>
        <vt:i4>5046345</vt:i4>
      </vt:variant>
      <vt:variant>
        <vt:i4>36</vt:i4>
      </vt:variant>
      <vt:variant>
        <vt:i4>0</vt:i4>
      </vt:variant>
      <vt:variant>
        <vt:i4>5</vt:i4>
      </vt:variant>
      <vt:variant>
        <vt:lpwstr>https://www.dlapiper.com/en/news/2026/01/dla-piper-advises-pko-bank-polski-and-ing-polska</vt:lpwstr>
      </vt:variant>
      <vt:variant>
        <vt:lpwstr/>
      </vt:variant>
      <vt:variant>
        <vt:i4>65608</vt:i4>
      </vt:variant>
      <vt:variant>
        <vt:i4>33</vt:i4>
      </vt:variant>
      <vt:variant>
        <vt:i4>0</vt:i4>
      </vt:variant>
      <vt:variant>
        <vt:i4>5</vt:i4>
      </vt:variant>
      <vt:variant>
        <vt:lpwstr>https://www.dlapiper.com/en/news/2025/11/dla-piper-advises-on-usd2-2-billion-independent-water-transmission-pipeline-project</vt:lpwstr>
      </vt:variant>
      <vt:variant>
        <vt:lpwstr/>
      </vt:variant>
      <vt:variant>
        <vt:i4>4718661</vt:i4>
      </vt:variant>
      <vt:variant>
        <vt:i4>30</vt:i4>
      </vt:variant>
      <vt:variant>
        <vt:i4>0</vt:i4>
      </vt:variant>
      <vt:variant>
        <vt:i4>5</vt:i4>
      </vt:variant>
      <vt:variant>
        <vt:lpwstr>https://www.dlapiper.com/en/news/2024/10/dla-piper-advises-bridgepoint-credit-on-acquisition-of-jsm-by-towerbrook</vt:lpwstr>
      </vt:variant>
      <vt:variant>
        <vt:lpwstr/>
      </vt:variant>
      <vt:variant>
        <vt:i4>3014694</vt:i4>
      </vt:variant>
      <vt:variant>
        <vt:i4>27</vt:i4>
      </vt:variant>
      <vt:variant>
        <vt:i4>0</vt:i4>
      </vt:variant>
      <vt:variant>
        <vt:i4>5</vt:i4>
      </vt:variant>
      <vt:variant>
        <vt:lpwstr>https://www.dlapiper.com/en/news/2026/01/dla-piper-advises-on-eur340-million-investment-into-innovation-campus</vt:lpwstr>
      </vt:variant>
      <vt:variant>
        <vt:lpwstr/>
      </vt:variant>
      <vt:variant>
        <vt:i4>2883707</vt:i4>
      </vt:variant>
      <vt:variant>
        <vt:i4>24</vt:i4>
      </vt:variant>
      <vt:variant>
        <vt:i4>0</vt:i4>
      </vt:variant>
      <vt:variant>
        <vt:i4>5</vt:i4>
      </vt:variant>
      <vt:variant>
        <vt:lpwstr>https://www.dlapiper.com/en/news/2026/01/dla-piper-advises-cicc-and-macquarie-on-hkd772-million-equity-financing-by-china-hanking-holdings</vt:lpwstr>
      </vt:variant>
      <vt:variant>
        <vt:lpwstr/>
      </vt:variant>
      <vt:variant>
        <vt:i4>2556023</vt:i4>
      </vt:variant>
      <vt:variant>
        <vt:i4>21</vt:i4>
      </vt:variant>
      <vt:variant>
        <vt:i4>0</vt:i4>
      </vt:variant>
      <vt:variant>
        <vt:i4>5</vt:i4>
      </vt:variant>
      <vt:variant>
        <vt:lpwstr>https://www.dlapiper.com/en/news/2025/09/banco-santander-funds-eur1-4-billion-to-leading-flexible-payments-provider-klarna</vt:lpwstr>
      </vt:variant>
      <vt:variant>
        <vt:lpwstr/>
      </vt:variant>
      <vt:variant>
        <vt:i4>3997731</vt:i4>
      </vt:variant>
      <vt:variant>
        <vt:i4>18</vt:i4>
      </vt:variant>
      <vt:variant>
        <vt:i4>0</vt:i4>
      </vt:variant>
      <vt:variant>
        <vt:i4>5</vt:i4>
      </vt:variant>
      <vt:variant>
        <vt:lpwstr>https://www.dlapiper.com/en-us/news/2025/09/dla-piper-welcomes-shana-ramirez-to-the-leveraged-finance-practice</vt:lpwstr>
      </vt:variant>
      <vt:variant>
        <vt:lpwstr/>
      </vt:variant>
      <vt:variant>
        <vt:i4>5701724</vt:i4>
      </vt:variant>
      <vt:variant>
        <vt:i4>15</vt:i4>
      </vt:variant>
      <vt:variant>
        <vt:i4>0</vt:i4>
      </vt:variant>
      <vt:variant>
        <vt:i4>5</vt:i4>
      </vt:variant>
      <vt:variant>
        <vt:lpwstr>https://www.dlapiper.com/en-us/news/2025/02/dla-piper-strengthens-its-restructuring-team-with-the-appointment-of-new-partner</vt:lpwstr>
      </vt:variant>
      <vt:variant>
        <vt:lpwstr/>
      </vt:variant>
      <vt:variant>
        <vt:i4>6029316</vt:i4>
      </vt:variant>
      <vt:variant>
        <vt:i4>12</vt:i4>
      </vt:variant>
      <vt:variant>
        <vt:i4>0</vt:i4>
      </vt:variant>
      <vt:variant>
        <vt:i4>5</vt:i4>
      </vt:variant>
      <vt:variant>
        <vt:lpwstr>https://www.dlapiper.com/en/news/2025/09/dla-piper-strengthens-energy-transition-capabilities</vt:lpwstr>
      </vt:variant>
      <vt:variant>
        <vt:lpwstr/>
      </vt:variant>
      <vt:variant>
        <vt:i4>8323174</vt:i4>
      </vt:variant>
      <vt:variant>
        <vt:i4>9</vt:i4>
      </vt:variant>
      <vt:variant>
        <vt:i4>0</vt:i4>
      </vt:variant>
      <vt:variant>
        <vt:i4>5</vt:i4>
      </vt:variant>
      <vt:variant>
        <vt:lpwstr>https://www.dlapiper.com/en-gb/news/2024/11/adam-plainer-joins-dla-pipers-global-restructuring-practice</vt:lpwstr>
      </vt:variant>
      <vt:variant>
        <vt:lpwstr/>
      </vt:variant>
      <vt:variant>
        <vt:i4>1441819</vt:i4>
      </vt:variant>
      <vt:variant>
        <vt:i4>6</vt:i4>
      </vt:variant>
      <vt:variant>
        <vt:i4>0</vt:i4>
      </vt:variant>
      <vt:variant>
        <vt:i4>5</vt:i4>
      </vt:variant>
      <vt:variant>
        <vt:lpwstr>https://www.dlapiper.com/en-za/news/2025/08/dla-piper-appoints-sudhir-nair-to-its-international-finance-practice</vt:lpwstr>
      </vt:variant>
      <vt:variant>
        <vt:lpwstr/>
      </vt:variant>
      <vt:variant>
        <vt:i4>1114213</vt:i4>
      </vt:variant>
      <vt:variant>
        <vt:i4>3</vt:i4>
      </vt:variant>
      <vt:variant>
        <vt:i4>0</vt:i4>
      </vt:variant>
      <vt:variant>
        <vt:i4>5</vt:i4>
      </vt:variant>
      <vt:variant>
        <vt:lpwstr>https://www.dlapiper.com/en/news/2025/11/richard-hughes-joins-dla-pipers-finance-practice?utm_source=linkedin_company-dla-piper&amp;utm_medium=social&amp;utm_term=international-finance&amp;utm_content=news</vt:lpwstr>
      </vt:variant>
      <vt:variant>
        <vt:lpwstr/>
      </vt:variant>
      <vt:variant>
        <vt:i4>4456522</vt:i4>
      </vt:variant>
      <vt:variant>
        <vt:i4>0</vt:i4>
      </vt:variant>
      <vt:variant>
        <vt:i4>0</vt:i4>
      </vt:variant>
      <vt:variant>
        <vt:i4>5</vt:i4>
      </vt:variant>
      <vt:variant>
        <vt:lpwstr>https://www.dlapiper.com/en/news/2025/11/dla-piper-appoints-fintech-and-derivatives-specialist-paul-landless</vt:lpwstr>
      </vt:variant>
      <vt:variant>
        <vt:lpwstr/>
      </vt:variant>
      <vt:variant>
        <vt:i4>7536680</vt:i4>
      </vt:variant>
      <vt:variant>
        <vt:i4>0</vt:i4>
      </vt:variant>
      <vt:variant>
        <vt:i4>0</vt:i4>
      </vt:variant>
      <vt:variant>
        <vt:i4>5</vt:i4>
      </vt:variant>
      <vt:variant>
        <vt:lpwstr>https://www.dlapiper.com/en/news/2026/01/dla-piper-scales-global-fund-finance-platform-with-strategic-lender-side-hires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Mashru</dc:creator>
  <cp:keywords/>
  <cp:lastModifiedBy>Stéphanie Leclercq</cp:lastModifiedBy>
  <cp:revision>19</cp:revision>
  <cp:lastPrinted>2025-07-29T02:43:00Z</cp:lastPrinted>
  <dcterms:created xsi:type="dcterms:W3CDTF">2026-02-18T14:22:00Z</dcterms:created>
  <dcterms:modified xsi:type="dcterms:W3CDTF">2026-03-02T19:06:00Z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c3c85bb2-08e8-4b84-9e83-d94bb788a802</vt:lpwstr>
  </property>
  <property fmtid="{D5CDD505-2E9C-101B-9397-08002B2CF9AE}" pid="3" name="ContentTypeId">
    <vt:lpwstr>0x0101008E5B2115F5FA304DA79457F5A95FECF2</vt:lpwstr>
  </property>
  <property fmtid="{D5CDD505-2E9C-101B-9397-08002B2CF9AE}" pid="4" name="MediaServiceImageTags">
    <vt:lpwstr/>
  </property>
</Properties>
</file>