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xmlns:wp14="http://schemas.microsoft.com/office/word/2010/wordml" w:rsidR="003F03A1" w:rsidRDefault="003F03A1" w14:paraId="672A6659" wp14:textId="076A491D"/>
    <w:p xmlns:wp14="http://schemas.microsoft.com/office/word/2010/wordml" w:rsidR="003F03A1" w:rsidP="3AA1DE4A" w:rsidRDefault="003F03A1" w14:paraId="0A37501D" wp14:textId="77777777">
      <w:pPr>
        <w:pBdr>
          <w:top w:val="nil" w:color="FF000000" w:sz="0" w:space="0"/>
          <w:left w:val="nil" w:color="FF000000" w:sz="0" w:space="0"/>
          <w:bottom w:val="nil" w:color="FF000000" w:sz="0" w:space="0"/>
          <w:right w:val="nil" w:color="FF000000" w:sz="0" w:space="0"/>
          <w:between w:val="nil" w:color="FF000000" w:sz="0" w:space="0"/>
        </w:pBdr>
        <w:rPr>
          <w:rFonts w:ascii="Arial Narrow" w:hAnsi="Arial Narrow" w:eastAsia="Arial Narrow" w:cs="Arial Narrow"/>
          <w:b w:val="1"/>
          <w:bCs w:val="1"/>
          <w:color w:val="000000"/>
          <w:sz w:val="22"/>
          <w:szCs w:val="22"/>
        </w:rPr>
      </w:pPr>
    </w:p>
    <w:p xmlns:wp14="http://schemas.microsoft.com/office/word/2010/wordml" w:rsidR="003F03A1" w:rsidP="3AA1DE4A" w:rsidRDefault="00742B55" w14:paraId="7F7FE3C8" wp14:textId="77777777">
      <w:pPr>
        <w:pBdr>
          <w:top w:val="single" w:color="DC6900" w:sz="8" w:space="1"/>
        </w:pBdr>
        <w:spacing w:after="240"/>
        <w:rPr>
          <w:rFonts w:ascii="Georgia" w:hAnsi="Georgia" w:eastAsia="Georgia" w:cs="Georgia"/>
          <w:b w:val="1"/>
          <w:bCs w:val="1"/>
          <w:i w:val="1"/>
          <w:iCs w:val="1"/>
          <w:color w:val="000000"/>
          <w:sz w:val="20"/>
          <w:szCs w:val="20"/>
        </w:rPr>
      </w:pPr>
      <w:r w:rsidRPr="3AA1DE4A" w:rsidR="54FD6DA2">
        <w:rPr>
          <w:rFonts w:ascii="Georgia" w:hAnsi="Georgia" w:eastAsia="Georgia" w:cs="Georgia"/>
          <w:b w:val="1"/>
          <w:bCs w:val="1"/>
          <w:i w:val="1"/>
          <w:iCs w:val="1"/>
          <w:color w:val="000000" w:themeColor="text1" w:themeTint="FF" w:themeShade="FF"/>
          <w:sz w:val="20"/>
          <w:szCs w:val="20"/>
        </w:rPr>
        <w:t>Press release</w:t>
      </w:r>
    </w:p>
    <w:tbl>
      <w:tblPr>
        <w:tblW w:w="8910" w:type="dxa"/>
        <w:tblInd w:w="-115" w:type="dxa"/>
        <w:tblLayout w:type="fixed"/>
        <w:tblLook w:val="0000" w:firstRow="0" w:lastRow="0" w:firstColumn="0" w:lastColumn="0" w:noHBand="0" w:noVBand="0"/>
      </w:tblPr>
      <w:tblGrid>
        <w:gridCol w:w="2025"/>
        <w:gridCol w:w="6885"/>
      </w:tblGrid>
      <w:tr xmlns:wp14="http://schemas.microsoft.com/office/word/2010/wordml" w:rsidR="003F03A1" w:rsidTr="3AA1DE4A" w14:paraId="43EBE62F" wp14:textId="77777777">
        <w:trPr>
          <w:trHeight w:val="220"/>
        </w:trPr>
        <w:tc>
          <w:tcPr>
            <w:tcW w:w="2025" w:type="dxa"/>
            <w:shd w:val="clear" w:color="auto" w:fill="auto"/>
            <w:tcMar/>
          </w:tcPr>
          <w:p w:rsidR="003F03A1" w:rsidP="3AA1DE4A" w:rsidRDefault="003F03A1" w14:paraId="5DAB6C7B" wp14:textId="77777777">
            <w:pPr>
              <w:rPr>
                <w:rFonts w:ascii="Georgia" w:hAnsi="Georgia" w:eastAsia="Georgia" w:cs="Georgia"/>
                <w:i w:val="1"/>
                <w:iCs w:val="1"/>
                <w:sz w:val="20"/>
                <w:szCs w:val="20"/>
              </w:rPr>
            </w:pPr>
          </w:p>
          <w:p w:rsidR="003F03A1" w:rsidP="3AA1DE4A" w:rsidRDefault="00742B55" w14:paraId="491072FA" wp14:textId="77777777">
            <w:pPr>
              <w:rPr>
                <w:rFonts w:ascii="Georgia" w:hAnsi="Georgia" w:eastAsia="Georgia" w:cs="Georgia"/>
                <w:i w:val="1"/>
                <w:iCs w:val="1"/>
                <w:sz w:val="20"/>
                <w:szCs w:val="20"/>
              </w:rPr>
            </w:pPr>
            <w:r w:rsidRPr="3AA1DE4A" w:rsidR="54FD6DA2">
              <w:rPr>
                <w:rFonts w:ascii="Georgia" w:hAnsi="Georgia" w:eastAsia="Georgia" w:cs="Georgia"/>
                <w:i w:val="1"/>
                <w:iCs w:val="1"/>
                <w:sz w:val="20"/>
                <w:szCs w:val="20"/>
              </w:rPr>
              <w:t>Date</w:t>
            </w:r>
          </w:p>
        </w:tc>
        <w:tc>
          <w:tcPr>
            <w:tcW w:w="6885" w:type="dxa"/>
            <w:shd w:val="clear" w:color="auto" w:fill="auto"/>
            <w:tcMar/>
          </w:tcPr>
          <w:p w:rsidR="003F03A1" w:rsidP="3AA1DE4A" w:rsidRDefault="00742B55" w14:paraId="226992DA" wp14:textId="08A13474">
            <w:pPr>
              <w:pStyle w:val="Normal"/>
              <w:rPr>
                <w:rFonts w:ascii="Georgia" w:hAnsi="Georgia" w:eastAsia="Georgia" w:cs="Georgia"/>
                <w:sz w:val="20"/>
                <w:szCs w:val="20"/>
                <w:highlight w:val="yellow"/>
              </w:rPr>
            </w:pPr>
            <w:r w:rsidRPr="3AA1DE4A" w:rsidR="54538A27">
              <w:rPr>
                <w:rFonts w:ascii="Georgia" w:hAnsi="Georgia" w:eastAsia="Georgia" w:cs="Georgia"/>
                <w:sz w:val="20"/>
                <w:szCs w:val="20"/>
                <w:highlight w:val="yellow"/>
              </w:rPr>
              <w:t>21.April.</w:t>
            </w:r>
            <w:r w:rsidRPr="3AA1DE4A" w:rsidR="54FD6DA2">
              <w:rPr>
                <w:rFonts w:ascii="Georgia" w:hAnsi="Georgia" w:eastAsia="Georgia" w:cs="Georgia"/>
                <w:color w:val="000000" w:themeColor="text1" w:themeTint="FF" w:themeShade="FF"/>
                <w:sz w:val="20"/>
                <w:szCs w:val="20"/>
                <w:highlight w:val="yellow"/>
              </w:rPr>
              <w:t xml:space="preserve"> 20</w:t>
            </w:r>
            <w:r w:rsidRPr="3AA1DE4A" w:rsidR="54FD6DA2">
              <w:rPr>
                <w:rFonts w:ascii="Georgia" w:hAnsi="Georgia" w:eastAsia="Georgia" w:cs="Georgia"/>
                <w:sz w:val="20"/>
                <w:szCs w:val="20"/>
                <w:highlight w:val="yellow"/>
              </w:rPr>
              <w:t>2</w:t>
            </w:r>
            <w:r w:rsidRPr="3AA1DE4A" w:rsidR="76FFFE2A">
              <w:rPr>
                <w:rFonts w:ascii="Georgia" w:hAnsi="Georgia" w:eastAsia="Georgia" w:cs="Georgia"/>
                <w:sz w:val="20"/>
                <w:szCs w:val="20"/>
                <w:highlight w:val="yellow"/>
              </w:rPr>
              <w:t>6</w:t>
            </w:r>
            <w:r w:rsidRPr="3AA1DE4A" w:rsidR="54FD6DA2">
              <w:rPr>
                <w:rFonts w:ascii="Georgia" w:hAnsi="Georgia" w:eastAsia="Georgia" w:cs="Georgia"/>
                <w:sz w:val="20"/>
                <w:szCs w:val="20"/>
                <w:highlight w:val="yellow"/>
              </w:rPr>
              <w:t xml:space="preserve"> </w:t>
            </w:r>
          </w:p>
        </w:tc>
      </w:tr>
      <w:tr xmlns:wp14="http://schemas.microsoft.com/office/word/2010/wordml" w:rsidR="003F03A1" w:rsidTr="3AA1DE4A" w14:paraId="08A1864C" wp14:textId="77777777">
        <w:trPr>
          <w:trHeight w:val="1000"/>
        </w:trPr>
        <w:tc>
          <w:tcPr>
            <w:tcW w:w="2025" w:type="dxa"/>
            <w:shd w:val="clear" w:color="auto" w:fill="auto"/>
            <w:tcMar/>
          </w:tcPr>
          <w:p w:rsidR="003F03A1" w:rsidP="3AA1DE4A" w:rsidRDefault="003F03A1" w14:paraId="6A05A809" wp14:textId="77777777">
            <w:pPr>
              <w:rPr>
                <w:rFonts w:ascii="Georgia" w:hAnsi="Georgia" w:eastAsia="Georgia" w:cs="Georgia"/>
                <w:i w:val="1"/>
                <w:iCs w:val="1"/>
                <w:sz w:val="20"/>
                <w:szCs w:val="20"/>
              </w:rPr>
            </w:pPr>
          </w:p>
          <w:p w:rsidR="003F03A1" w:rsidP="3AA1DE4A" w:rsidRDefault="00742B55" w14:paraId="55300736" wp14:textId="77777777">
            <w:pPr>
              <w:rPr>
                <w:rFonts w:ascii="Georgia" w:hAnsi="Georgia" w:eastAsia="Georgia" w:cs="Georgia"/>
                <w:i w:val="1"/>
                <w:iCs w:val="1"/>
                <w:sz w:val="20"/>
                <w:szCs w:val="20"/>
              </w:rPr>
            </w:pPr>
            <w:r w:rsidRPr="3AA1DE4A" w:rsidR="54FD6DA2">
              <w:rPr>
                <w:rFonts w:ascii="Georgia" w:hAnsi="Georgia" w:eastAsia="Georgia" w:cs="Georgia"/>
                <w:i w:val="1"/>
                <w:iCs w:val="1"/>
                <w:sz w:val="20"/>
                <w:szCs w:val="20"/>
              </w:rPr>
              <w:t>Contact</w:t>
            </w:r>
          </w:p>
          <w:p w:rsidR="003F03A1" w:rsidRDefault="003F03A1" w14:paraId="5A39BBE3" wp14:textId="77777777">
            <w:pPr>
              <w:rPr>
                <w:rFonts w:ascii="Georgia" w:hAnsi="Georgia" w:eastAsia="Georgia" w:cs="Georgia"/>
                <w:sz w:val="20"/>
                <w:szCs w:val="20"/>
              </w:rPr>
            </w:pPr>
          </w:p>
          <w:p w:rsidR="003F03A1" w:rsidRDefault="003F03A1" w14:paraId="41C8F396" wp14:textId="77777777">
            <w:pPr>
              <w:rPr>
                <w:rFonts w:ascii="Georgia" w:hAnsi="Georgia" w:eastAsia="Georgia" w:cs="Georgia"/>
                <w:sz w:val="20"/>
                <w:szCs w:val="20"/>
              </w:rPr>
            </w:pPr>
          </w:p>
          <w:p w:rsidR="003F03A1" w:rsidP="3AA1DE4A" w:rsidRDefault="003F03A1" w14:paraId="72A3D3EC" wp14:textId="77777777">
            <w:pPr>
              <w:rPr>
                <w:rFonts w:ascii="Georgia" w:hAnsi="Georgia" w:eastAsia="Georgia" w:cs="Georgia"/>
                <w:i w:val="1"/>
                <w:iCs w:val="1"/>
                <w:sz w:val="20"/>
                <w:szCs w:val="20"/>
              </w:rPr>
            </w:pPr>
          </w:p>
          <w:p w:rsidR="003F03A1" w:rsidRDefault="003F03A1" w14:paraId="0D0B940D" wp14:textId="77777777">
            <w:pPr>
              <w:rPr>
                <w:rFonts w:ascii="Georgia" w:hAnsi="Georgia" w:eastAsia="Georgia" w:cs="Georgia"/>
                <w:sz w:val="20"/>
                <w:szCs w:val="20"/>
              </w:rPr>
            </w:pPr>
          </w:p>
        </w:tc>
        <w:tc>
          <w:tcPr>
            <w:tcW w:w="6885" w:type="dxa"/>
            <w:shd w:val="clear" w:color="auto" w:fill="auto"/>
            <w:tcMar/>
          </w:tcPr>
          <w:p w:rsidR="003F03A1" w:rsidRDefault="003F03A1" w14:paraId="0E27B00A" wp14:textId="77777777">
            <w:pPr>
              <w:tabs>
                <w:tab w:val="left" w:pos="1440"/>
              </w:tabs>
              <w:rPr>
                <w:rFonts w:ascii="Georgia" w:hAnsi="Georgia" w:eastAsia="Georgia" w:cs="Georgia"/>
                <w:color w:val="000000"/>
                <w:sz w:val="20"/>
                <w:szCs w:val="20"/>
              </w:rPr>
            </w:pPr>
          </w:p>
          <w:p w:rsidR="003F03A1" w:rsidRDefault="00742B55" w14:paraId="0500765D" wp14:textId="77777777">
            <w:pPr>
              <w:tabs>
                <w:tab w:val="left" w:pos="1440"/>
              </w:tabs>
              <w:rPr>
                <w:rFonts w:ascii="Georgia" w:hAnsi="Georgia" w:eastAsia="Georgia" w:cs="Georgia"/>
                <w:sz w:val="20"/>
                <w:szCs w:val="20"/>
              </w:rPr>
            </w:pPr>
            <w:r w:rsidRPr="3AA1DE4A" w:rsidR="54FD6DA2">
              <w:rPr>
                <w:rFonts w:ascii="Georgia" w:hAnsi="Georgia" w:eastAsia="Georgia" w:cs="Georgia"/>
                <w:sz w:val="20"/>
                <w:szCs w:val="20"/>
              </w:rPr>
              <w:t>Pauline André</w:t>
            </w:r>
          </w:p>
          <w:p w:rsidR="003F03A1" w:rsidRDefault="00742B55" w14:paraId="541107C4" wp14:textId="77777777">
            <w:pPr>
              <w:tabs>
                <w:tab w:val="left" w:pos="1440"/>
              </w:tabs>
              <w:rPr>
                <w:rFonts w:ascii="Georgia" w:hAnsi="Georgia" w:eastAsia="Georgia" w:cs="Georgia"/>
                <w:sz w:val="20"/>
                <w:szCs w:val="20"/>
              </w:rPr>
            </w:pPr>
            <w:r w:rsidRPr="3AA1DE4A" w:rsidR="54FD6DA2">
              <w:rPr>
                <w:rFonts w:ascii="Georgia" w:hAnsi="Georgia" w:eastAsia="Georgia" w:cs="Georgia"/>
                <w:sz w:val="20"/>
                <w:szCs w:val="20"/>
              </w:rPr>
              <w:t>+(352) 621 333 582</w:t>
            </w:r>
          </w:p>
          <w:p w:rsidR="003F03A1" w:rsidRDefault="00742B55" w14:paraId="533E808C" wp14:textId="77777777">
            <w:pPr>
              <w:tabs>
                <w:tab w:val="left" w:pos="1440"/>
              </w:tabs>
              <w:rPr>
                <w:rFonts w:ascii="Georgia" w:hAnsi="Georgia" w:eastAsia="Georgia" w:cs="Georgia"/>
                <w:sz w:val="20"/>
                <w:szCs w:val="20"/>
              </w:rPr>
            </w:pPr>
            <w:hyperlink r:id="R7a04b1a03cdd42a3">
              <w:r w:rsidRPr="3AA1DE4A" w:rsidR="54FD6DA2">
                <w:rPr>
                  <w:rFonts w:ascii="Georgia" w:hAnsi="Georgia" w:eastAsia="Georgia" w:cs="Georgia"/>
                  <w:color w:val="1155CC"/>
                  <w:sz w:val="20"/>
                  <w:szCs w:val="20"/>
                  <w:u w:val="single"/>
                </w:rPr>
                <w:t>pauline.andre@pwc.lu</w:t>
              </w:r>
            </w:hyperlink>
            <w:r w:rsidRPr="3AA1DE4A" w:rsidR="54FD6DA2">
              <w:rPr>
                <w:rFonts w:ascii="Georgia" w:hAnsi="Georgia" w:eastAsia="Georgia" w:cs="Georgia"/>
                <w:sz w:val="20"/>
                <w:szCs w:val="20"/>
              </w:rPr>
              <w:t xml:space="preserve"> </w:t>
            </w:r>
          </w:p>
          <w:p w:rsidR="003F03A1" w:rsidRDefault="003F03A1" w14:paraId="60061E4C" wp14:textId="77777777">
            <w:pPr>
              <w:tabs>
                <w:tab w:val="left" w:pos="1440"/>
              </w:tabs>
              <w:rPr>
                <w:rFonts w:ascii="Georgia" w:hAnsi="Georgia" w:eastAsia="Georgia" w:cs="Georgia"/>
                <w:color w:val="000000"/>
                <w:sz w:val="20"/>
                <w:szCs w:val="20"/>
              </w:rPr>
            </w:pPr>
          </w:p>
          <w:p w:rsidR="003F03A1" w:rsidRDefault="00742B55" w14:paraId="12E1F61E" wp14:textId="77777777">
            <w:pPr>
              <w:tabs>
                <w:tab w:val="left" w:pos="1440"/>
              </w:tabs>
              <w:rPr>
                <w:rFonts w:ascii="Georgia" w:hAnsi="Georgia" w:eastAsia="Georgia" w:cs="Georgia"/>
                <w:color w:val="000000"/>
                <w:sz w:val="20"/>
                <w:szCs w:val="20"/>
              </w:rPr>
            </w:pPr>
            <w:r w:rsidRPr="3AA1DE4A" w:rsidR="54FD6DA2">
              <w:rPr>
                <w:rFonts w:ascii="Georgia" w:hAnsi="Georgia" w:eastAsia="Georgia" w:cs="Georgia"/>
                <w:color w:val="000000" w:themeColor="text1" w:themeTint="FF" w:themeShade="FF"/>
                <w:sz w:val="20"/>
                <w:szCs w:val="20"/>
              </w:rPr>
              <w:t>Mary Carey</w:t>
            </w:r>
          </w:p>
          <w:p w:rsidR="003F03A1" w:rsidRDefault="00742B55" w14:paraId="3550AA95" wp14:textId="77777777">
            <w:pPr>
              <w:tabs>
                <w:tab w:val="left" w:pos="1440"/>
              </w:tabs>
              <w:rPr>
                <w:rFonts w:ascii="Georgia" w:hAnsi="Georgia" w:eastAsia="Georgia" w:cs="Georgia"/>
                <w:sz w:val="20"/>
                <w:szCs w:val="20"/>
              </w:rPr>
            </w:pPr>
            <w:r w:rsidRPr="3AA1DE4A" w:rsidR="54FD6DA2">
              <w:rPr>
                <w:rFonts w:ascii="Georgia" w:hAnsi="Georgia" w:eastAsia="Georgia" w:cs="Georgia"/>
                <w:color w:val="000000" w:themeColor="text1" w:themeTint="FF" w:themeShade="FF"/>
                <w:sz w:val="20"/>
                <w:szCs w:val="20"/>
              </w:rPr>
              <w:t xml:space="preserve">(+352) </w:t>
            </w:r>
            <w:r w:rsidRPr="3AA1DE4A" w:rsidR="54FD6DA2">
              <w:rPr>
                <w:rFonts w:ascii="Georgia" w:hAnsi="Georgia" w:eastAsia="Georgia" w:cs="Georgia"/>
                <w:sz w:val="20"/>
                <w:szCs w:val="20"/>
              </w:rPr>
              <w:t>621</w:t>
            </w:r>
            <w:r w:rsidRPr="3AA1DE4A" w:rsidR="54FD6DA2">
              <w:rPr>
                <w:rFonts w:ascii="Georgia" w:hAnsi="Georgia" w:eastAsia="Georgia" w:cs="Georgia"/>
                <w:color w:val="000000" w:themeColor="text1" w:themeTint="FF" w:themeShade="FF"/>
                <w:sz w:val="20"/>
                <w:szCs w:val="20"/>
              </w:rPr>
              <w:t xml:space="preserve"> </w:t>
            </w:r>
            <w:r w:rsidRPr="3AA1DE4A" w:rsidR="54FD6DA2">
              <w:rPr>
                <w:rFonts w:ascii="Georgia" w:hAnsi="Georgia" w:eastAsia="Georgia" w:cs="Georgia"/>
                <w:sz w:val="20"/>
                <w:szCs w:val="20"/>
              </w:rPr>
              <w:t>332</w:t>
            </w:r>
            <w:r w:rsidRPr="3AA1DE4A" w:rsidR="54FD6DA2">
              <w:rPr>
                <w:rFonts w:ascii="Georgia" w:hAnsi="Georgia" w:eastAsia="Georgia" w:cs="Georgia"/>
                <w:color w:val="000000" w:themeColor="text1" w:themeTint="FF" w:themeShade="FF"/>
                <w:sz w:val="20"/>
                <w:szCs w:val="20"/>
              </w:rPr>
              <w:t xml:space="preserve"> </w:t>
            </w:r>
            <w:r w:rsidRPr="3AA1DE4A" w:rsidR="54FD6DA2">
              <w:rPr>
                <w:rFonts w:ascii="Georgia" w:hAnsi="Georgia" w:eastAsia="Georgia" w:cs="Georgia"/>
                <w:sz w:val="20"/>
                <w:szCs w:val="20"/>
              </w:rPr>
              <w:t>863</w:t>
            </w:r>
          </w:p>
          <w:p w:rsidR="003F03A1" w:rsidRDefault="00742B55" w14:paraId="6613511B" wp14:textId="77777777">
            <w:pPr>
              <w:tabs>
                <w:tab w:val="left" w:pos="1440"/>
              </w:tabs>
              <w:rPr>
                <w:rFonts w:ascii="Georgia" w:hAnsi="Georgia" w:eastAsia="Georgia" w:cs="Georgia"/>
                <w:color w:val="0000FF"/>
                <w:sz w:val="20"/>
                <w:szCs w:val="20"/>
                <w:u w:val="single"/>
              </w:rPr>
            </w:pPr>
            <w:hyperlink r:id="R9ac6e348da4543e6">
              <w:r w:rsidRPr="3AA1DE4A" w:rsidR="54FD6DA2">
                <w:rPr>
                  <w:rFonts w:ascii="Georgia" w:hAnsi="Georgia" w:eastAsia="Georgia" w:cs="Georgia"/>
                  <w:color w:val="1155CC"/>
                  <w:sz w:val="20"/>
                  <w:szCs w:val="20"/>
                  <w:u w:val="single"/>
                </w:rPr>
                <w:t>mary.carey@pwc.lu</w:t>
              </w:r>
            </w:hyperlink>
            <w:r w:rsidRPr="3AA1DE4A" w:rsidR="54FD6DA2">
              <w:rPr>
                <w:rFonts w:ascii="Georgia" w:hAnsi="Georgia" w:eastAsia="Georgia" w:cs="Georgia"/>
                <w:color w:val="0000FF"/>
                <w:sz w:val="20"/>
                <w:szCs w:val="20"/>
                <w:u w:val="single"/>
              </w:rPr>
              <w:t xml:space="preserve">  </w:t>
            </w:r>
          </w:p>
          <w:p w:rsidR="003F03A1" w:rsidRDefault="003F03A1" w14:paraId="44EAFD9C" wp14:textId="77777777">
            <w:pPr>
              <w:tabs>
                <w:tab w:val="left" w:pos="1440"/>
              </w:tabs>
              <w:rPr>
                <w:rFonts w:ascii="Georgia" w:hAnsi="Georgia" w:eastAsia="Georgia" w:cs="Georgia"/>
                <w:sz w:val="20"/>
                <w:szCs w:val="20"/>
              </w:rPr>
            </w:pPr>
          </w:p>
          <w:p w:rsidR="003F03A1" w:rsidRDefault="00742B55" w14:paraId="5E3C487B" wp14:textId="77777777">
            <w:pPr>
              <w:rPr>
                <w:rFonts w:ascii="Georgia" w:hAnsi="Georgia" w:eastAsia="Georgia" w:cs="Georgia"/>
                <w:color w:val="0000FF"/>
                <w:sz w:val="20"/>
                <w:szCs w:val="20"/>
                <w:u w:val="single"/>
              </w:rPr>
            </w:pPr>
            <w:r w:rsidRPr="3AA1DE4A" w:rsidR="54FD6DA2">
              <w:rPr>
                <w:rFonts w:ascii="Georgia" w:hAnsi="Georgia" w:eastAsia="Georgia" w:cs="Georgia"/>
                <w:sz w:val="20"/>
                <w:szCs w:val="20"/>
              </w:rPr>
              <w:t xml:space="preserve">For more details, contact us at </w:t>
            </w:r>
            <w:hyperlink r:id="R414e5cfc25884b5a">
              <w:r w:rsidRPr="3AA1DE4A" w:rsidR="54FD6DA2">
                <w:rPr>
                  <w:rFonts w:ascii="Georgia" w:hAnsi="Georgia" w:eastAsia="Georgia" w:cs="Georgia"/>
                  <w:color w:val="1155CC"/>
                  <w:sz w:val="20"/>
                  <w:szCs w:val="20"/>
                  <w:u w:val="single"/>
                </w:rPr>
                <w:t>lu-press@pwc.lu</w:t>
              </w:r>
            </w:hyperlink>
            <w:r w:rsidRPr="3AA1DE4A" w:rsidR="54FD6DA2">
              <w:rPr>
                <w:rFonts w:ascii="Georgia" w:hAnsi="Georgia" w:eastAsia="Georgia" w:cs="Georgia"/>
                <w:sz w:val="20"/>
                <w:szCs w:val="20"/>
              </w:rPr>
              <w:t xml:space="preserve">  </w:t>
            </w:r>
          </w:p>
          <w:p w:rsidR="003F03A1" w:rsidRDefault="003F03A1" w14:paraId="4B94D5A5" wp14:textId="77777777">
            <w:pPr>
              <w:rPr>
                <w:rFonts w:ascii="Georgia" w:hAnsi="Georgia" w:eastAsia="Georgia" w:cs="Georgia"/>
                <w:sz w:val="20"/>
                <w:szCs w:val="20"/>
              </w:rPr>
            </w:pPr>
          </w:p>
          <w:p w:rsidR="003F03A1" w:rsidRDefault="00742B55" w14:paraId="5392162B" wp14:textId="77777777">
            <w:pPr>
              <w:tabs>
                <w:tab w:val="left" w:pos="1440"/>
              </w:tabs>
              <w:rPr>
                <w:rFonts w:ascii="Georgia" w:hAnsi="Georgia" w:eastAsia="Georgia" w:cs="Georgia"/>
                <w:sz w:val="20"/>
                <w:szCs w:val="20"/>
              </w:rPr>
            </w:pPr>
            <w:r w:rsidRPr="3AA1DE4A" w:rsidR="54FD6DA2">
              <w:rPr>
                <w:rFonts w:ascii="Georgia" w:hAnsi="Georgia" w:eastAsia="Georgia" w:cs="Georgia"/>
                <w:sz w:val="20"/>
                <w:szCs w:val="20"/>
              </w:rPr>
              <w:t xml:space="preserve">Follow us on LinkedIn: </w:t>
            </w:r>
            <w:hyperlink r:id="R99bbaa86282b4108">
              <w:r w:rsidRPr="3AA1DE4A" w:rsidR="54FD6DA2">
                <w:rPr>
                  <w:rFonts w:ascii="Georgia" w:hAnsi="Georgia" w:eastAsia="Georgia" w:cs="Georgia"/>
                  <w:color w:val="0000FF"/>
                  <w:sz w:val="20"/>
                  <w:szCs w:val="20"/>
                  <w:u w:val="single"/>
                </w:rPr>
                <w:t>www.linkedin.com/company/pwc-luxembourg</w:t>
              </w:r>
            </w:hyperlink>
          </w:p>
          <w:p w:rsidR="003F03A1" w:rsidRDefault="003F03A1" w14:paraId="3DEEC669" wp14:textId="77777777">
            <w:pPr>
              <w:tabs>
                <w:tab w:val="left" w:pos="1440"/>
              </w:tabs>
              <w:rPr>
                <w:rFonts w:ascii="Georgia" w:hAnsi="Georgia" w:eastAsia="Georgia" w:cs="Georgia"/>
                <w:sz w:val="20"/>
                <w:szCs w:val="20"/>
              </w:rPr>
            </w:pPr>
          </w:p>
          <w:p w:rsidR="003F03A1" w:rsidP="506F323B" w:rsidRDefault="00742B55" w14:paraId="4AA4E482" wp14:textId="4E24CAA7">
            <w:pPr>
              <w:tabs>
                <w:tab w:val="left" w:pos="1440"/>
              </w:tabs>
              <w:rPr>
                <w:rFonts w:ascii="Georgia" w:hAnsi="Georgia" w:eastAsia="Georgia" w:cs="Georgia"/>
                <w:sz w:val="20"/>
                <w:szCs w:val="20"/>
              </w:rPr>
            </w:pPr>
          </w:p>
          <w:p w:rsidR="003F03A1" w:rsidRDefault="00742B55" w14:paraId="3891630B" wp14:textId="77777777">
            <w:pPr>
              <w:tabs>
                <w:tab w:val="left" w:pos="1440"/>
              </w:tabs>
              <w:rPr>
                <w:rFonts w:ascii="Georgia" w:hAnsi="Georgia" w:eastAsia="Georgia" w:cs="Georgia"/>
                <w:color w:val="000000"/>
                <w:sz w:val="20"/>
                <w:szCs w:val="20"/>
              </w:rPr>
            </w:pPr>
            <w:r w:rsidRPr="3AA1DE4A" w:rsidR="54FD6DA2">
              <w:rPr>
                <w:rFonts w:ascii="Georgia" w:hAnsi="Georgia" w:eastAsia="Georgia" w:cs="Georgia"/>
                <w:sz w:val="20"/>
                <w:szCs w:val="20"/>
              </w:rPr>
              <w:t xml:space="preserve">       </w:t>
            </w:r>
          </w:p>
        </w:tc>
      </w:tr>
      <w:tr xmlns:wp14="http://schemas.microsoft.com/office/word/2010/wordml" w:rsidR="003F03A1" w:rsidTr="3AA1DE4A" w14:paraId="23CEF153" wp14:textId="77777777">
        <w:trPr>
          <w:trHeight w:val="60"/>
        </w:trPr>
        <w:tc>
          <w:tcPr>
            <w:tcW w:w="2025" w:type="dxa"/>
            <w:shd w:val="clear" w:color="auto" w:fill="auto"/>
            <w:tcMar/>
          </w:tcPr>
          <w:p w:rsidR="003F03A1" w:rsidP="3AA1DE4A" w:rsidRDefault="00742B55" w14:paraId="6A6D031D" wp14:textId="77777777">
            <w:pPr>
              <w:rPr>
                <w:rFonts w:ascii="Georgia" w:hAnsi="Georgia" w:eastAsia="Georgia" w:cs="Georgia"/>
                <w:i w:val="1"/>
                <w:iCs w:val="1"/>
                <w:sz w:val="20"/>
                <w:szCs w:val="20"/>
              </w:rPr>
            </w:pPr>
            <w:r w:rsidRPr="3AA1DE4A" w:rsidR="54FD6DA2">
              <w:rPr>
                <w:rFonts w:ascii="Georgia" w:hAnsi="Georgia" w:eastAsia="Georgia" w:cs="Georgia"/>
                <w:i w:val="1"/>
                <w:iCs w:val="1"/>
                <w:sz w:val="20"/>
                <w:szCs w:val="20"/>
              </w:rPr>
              <w:t xml:space="preserve">Pages </w:t>
            </w:r>
          </w:p>
        </w:tc>
        <w:tc>
          <w:tcPr>
            <w:tcW w:w="6885" w:type="dxa"/>
            <w:shd w:val="clear" w:color="auto" w:fill="auto"/>
            <w:tcMar/>
          </w:tcPr>
          <w:p w:rsidR="2665AAD0" w:rsidP="3AA1DE4A" w:rsidRDefault="2665AAD0" w14:paraId="4BA7E476" w14:textId="579D1E6E">
            <w:pPr>
              <w:pStyle w:val="Normal"/>
              <w:suppressLineNumbers w:val="0"/>
              <w:bidi w:val="0"/>
              <w:spacing w:before="0" w:beforeAutospacing="off" w:after="0" w:afterAutospacing="off" w:line="259" w:lineRule="auto"/>
              <w:ind w:left="0" w:right="0"/>
              <w:jc w:val="left"/>
            </w:pPr>
            <w:r w:rsidRPr="3AA1DE4A" w:rsidR="2665AAD0">
              <w:rPr>
                <w:rFonts w:ascii="Georgia" w:hAnsi="Georgia" w:eastAsia="Georgia" w:cs="Georgia"/>
                <w:sz w:val="20"/>
                <w:szCs w:val="20"/>
                <w:highlight w:val="yellow"/>
              </w:rPr>
              <w:t>4</w:t>
            </w:r>
          </w:p>
          <w:p w:rsidR="003F03A1" w:rsidRDefault="003F03A1" w14:paraId="3656B9AB" wp14:textId="77777777">
            <w:pPr>
              <w:rPr>
                <w:rFonts w:ascii="Georgia" w:hAnsi="Georgia" w:eastAsia="Georgia" w:cs="Georgia"/>
                <w:sz w:val="20"/>
                <w:szCs w:val="20"/>
              </w:rPr>
            </w:pPr>
          </w:p>
        </w:tc>
      </w:tr>
    </w:tbl>
    <w:p w:rsidR="3AA1DE4A" w:rsidP="3AA1DE4A" w:rsidRDefault="3AA1DE4A" w14:paraId="4F5AA7FC" w14:textId="16BF8CAC">
      <w:pPr>
        <w:pStyle w:val="Normal"/>
        <w:pBdr>
          <w:top w:val="single" w:color="DC6900" w:sz="8" w:space="1"/>
        </w:pBdr>
        <w:tabs>
          <w:tab w:val="left" w:leader="none" w:pos="1394"/>
        </w:tabs>
        <w:jc w:val="center"/>
        <w:rPr>
          <w:rFonts w:ascii="Georgia" w:hAnsi="Georgia" w:eastAsia="Georgia" w:cs="Georgia"/>
          <w:b w:val="1"/>
          <w:bCs w:val="1"/>
          <w:i w:val="1"/>
          <w:iCs w:val="1"/>
          <w:color w:val="000000" w:themeColor="text1" w:themeTint="FF" w:themeShade="FF"/>
          <w:sz w:val="24"/>
          <w:szCs w:val="24"/>
        </w:rPr>
      </w:pPr>
    </w:p>
    <w:p xmlns:wp14="http://schemas.microsoft.com/office/word/2010/wordml" w:rsidR="003F03A1" w:rsidP="3AA1DE4A" w:rsidRDefault="003F03A1" w14:paraId="0252E9AB" wp14:textId="7448953C">
      <w:pPr>
        <w:pStyle w:val="Normal"/>
        <w:pBdr>
          <w:top w:val="single" w:color="DC6900" w:sz="8" w:space="1"/>
        </w:pBdr>
        <w:tabs>
          <w:tab w:val="left" w:leader="none" w:pos="1394"/>
        </w:tabs>
        <w:spacing w:line="259" w:lineRule="auto"/>
        <w:jc w:val="center"/>
        <w:rPr>
          <w:rFonts w:ascii="Georgia" w:hAnsi="Georgia" w:eastAsia="Georgia" w:cs="Georgia"/>
          <w:b w:val="1"/>
          <w:bCs w:val="1"/>
          <w:i w:val="1"/>
          <w:iCs w:val="1"/>
          <w:color w:val="000000" w:themeColor="text1" w:themeTint="FF" w:themeShade="FF"/>
          <w:sz w:val="24"/>
          <w:szCs w:val="24"/>
        </w:rPr>
      </w:pPr>
      <w:r w:rsidRPr="3AA1DE4A" w:rsidR="45ED6FC8">
        <w:rPr>
          <w:rFonts w:ascii="Georgia" w:hAnsi="Georgia" w:eastAsia="Georgia" w:cs="Georgia"/>
          <w:b w:val="1"/>
          <w:bCs w:val="1"/>
          <w:i w:val="1"/>
          <w:iCs w:val="1"/>
          <w:color w:val="000000" w:themeColor="text1" w:themeTint="FF" w:themeShade="FF"/>
          <w:sz w:val="24"/>
          <w:szCs w:val="24"/>
        </w:rPr>
        <w:t>PwC Releases EMEA AML Survey</w:t>
      </w:r>
      <w:bookmarkStart w:name="_3znysh7" w:id="2"/>
      <w:bookmarkEnd w:id="2"/>
    </w:p>
    <w:p xmlns:wp14="http://schemas.microsoft.com/office/word/2010/wordml" w:rsidR="003F03A1" w:rsidP="3AA1DE4A" w:rsidRDefault="003F03A1" w14:paraId="34499B4D" wp14:textId="506F0E45">
      <w:pPr>
        <w:spacing w:line="259" w:lineRule="auto"/>
        <w:rPr>
          <w:rFonts w:ascii="Georgia" w:hAnsi="Georgia" w:eastAsia="Georgia" w:cs="Georgia"/>
          <w:sz w:val="24"/>
          <w:szCs w:val="24"/>
        </w:rPr>
      </w:pPr>
    </w:p>
    <w:p xmlns:wp14="http://schemas.microsoft.com/office/word/2010/wordml" w:rsidR="003F03A1" w:rsidP="3AA1DE4A" w:rsidRDefault="003F03A1" w14:paraId="63D6D66D" wp14:textId="07651AFF">
      <w:pPr>
        <w:pStyle w:val="Normal"/>
        <w:spacing w:line="259" w:lineRule="auto"/>
        <w:jc w:val="center"/>
        <w:rPr>
          <w:rFonts w:ascii="Georgia" w:hAnsi="Georgia" w:eastAsia="Georgia" w:cs="Georgia"/>
          <w:b w:val="0"/>
          <w:bCs w:val="0"/>
          <w:i w:val="0"/>
          <w:iCs w:val="0"/>
          <w:caps w:val="0"/>
          <w:smallCaps w:val="0"/>
          <w:color w:val="000000" w:themeColor="text1" w:themeTint="FF" w:themeShade="FF"/>
          <w:sz w:val="24"/>
          <w:szCs w:val="24"/>
        </w:rPr>
      </w:pPr>
      <w:r w:rsidRPr="3AA1DE4A" w:rsidR="39BA1EEC">
        <w:rPr>
          <w:rFonts w:ascii="Georgia" w:hAnsi="Georgia" w:eastAsia="Georgia" w:cs="Georgia"/>
          <w:b w:val="1"/>
          <w:bCs w:val="1"/>
          <w:i w:val="0"/>
          <w:iCs w:val="0"/>
          <w:caps w:val="0"/>
          <w:smallCaps w:val="0"/>
          <w:color w:val="000000" w:themeColor="text1" w:themeTint="FF" w:themeShade="FF"/>
          <w:sz w:val="24"/>
          <w:szCs w:val="24"/>
        </w:rPr>
        <w:t>Two-thirds of financial institutions risk missing EU AML deadline, PwC finds</w:t>
      </w:r>
    </w:p>
    <w:p xmlns:wp14="http://schemas.microsoft.com/office/word/2010/wordml" w:rsidR="003F03A1" w:rsidP="3AA1DE4A" w:rsidRDefault="003F03A1" w14:paraId="09A125EC" wp14:textId="5CF60BF7">
      <w:pPr>
        <w:pStyle w:val="Normal"/>
        <w:spacing w:line="259" w:lineRule="auto"/>
        <w:jc w:val="center"/>
        <w:rPr>
          <w:rFonts w:ascii="Georgia" w:hAnsi="Georgia" w:eastAsia="Georgia" w:cs="Georgia"/>
          <w:b w:val="0"/>
          <w:bCs w:val="0"/>
          <w:i w:val="0"/>
          <w:iCs w:val="0"/>
          <w:caps w:val="0"/>
          <w:smallCaps w:val="0"/>
          <w:color w:val="000000" w:themeColor="text1" w:themeTint="FF" w:themeShade="FF"/>
          <w:sz w:val="24"/>
          <w:szCs w:val="24"/>
        </w:rPr>
      </w:pPr>
      <w:r w:rsidRPr="3AA1DE4A" w:rsidR="39BA1EEC">
        <w:rPr>
          <w:rFonts w:ascii="Georgia" w:hAnsi="Georgia" w:eastAsia="Georgia" w:cs="Georgia"/>
          <w:b w:val="0"/>
          <w:bCs w:val="0"/>
          <w:i w:val="1"/>
          <w:iCs w:val="1"/>
          <w:caps w:val="0"/>
          <w:smallCaps w:val="0"/>
          <w:color w:val="000000" w:themeColor="text1" w:themeTint="FF" w:themeShade="FF"/>
          <w:sz w:val="24"/>
          <w:szCs w:val="24"/>
        </w:rPr>
        <w:t>PwC research across 500+ firms in 40 countries reveals a widening readiness gap, and a continent divided on AML effectiveness</w:t>
      </w:r>
    </w:p>
    <w:p xmlns:wp14="http://schemas.microsoft.com/office/word/2010/wordml" w:rsidR="003F03A1" w:rsidP="3AA1DE4A" w:rsidRDefault="003F03A1" w14:paraId="479C16CF" wp14:textId="1C6F2ADA">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1"/>
          <w:bCs w:val="1"/>
          <w:i w:val="0"/>
          <w:iCs w:val="0"/>
          <w:caps w:val="0"/>
          <w:smallCaps w:val="0"/>
          <w:color w:val="000000" w:themeColor="text1" w:themeTint="FF" w:themeShade="FF"/>
          <w:sz w:val="22"/>
          <w:szCs w:val="22"/>
        </w:rPr>
        <w:t>Key highlights:</w:t>
      </w:r>
    </w:p>
    <w:p xmlns:wp14="http://schemas.microsoft.com/office/word/2010/wordml" w:rsidR="003F03A1" w:rsidP="3AA1DE4A" w:rsidRDefault="003F03A1" w14:paraId="53C4C4E3" wp14:textId="6562CAAC">
      <w:pPr>
        <w:pStyle w:val="ListParagraph"/>
        <w:numPr>
          <w:ilvl w:val="0"/>
          <w:numId w:val="2"/>
        </w:numPr>
        <w:spacing w:before="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Only one-third of EU financial institutions expect to be ready for the EU AML Package by July 2027</w:t>
      </w:r>
    </w:p>
    <w:p xmlns:wp14="http://schemas.microsoft.com/office/word/2010/wordml" w:rsidR="003F03A1" w:rsidP="3AA1DE4A" w:rsidRDefault="003F03A1" w14:paraId="039EC94F" wp14:textId="1DB7BC5F">
      <w:pPr>
        <w:pStyle w:val="ListParagraph"/>
        <w:numPr>
          <w:ilvl w:val="0"/>
          <w:numId w:val="2"/>
        </w:numPr>
        <w:spacing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More than half of financial institutions across the EMEA region </w:t>
      </w:r>
      <w:r w:rsidRPr="3AA1DE4A" w:rsidR="39BA1EEC">
        <w:rPr>
          <w:rFonts w:ascii="Georgia" w:hAnsi="Georgia" w:eastAsia="Georgia" w:cs="Georgia"/>
          <w:b w:val="0"/>
          <w:bCs w:val="0"/>
          <w:i w:val="0"/>
          <w:iCs w:val="0"/>
          <w:caps w:val="0"/>
          <w:smallCaps w:val="0"/>
          <w:color w:val="000000" w:themeColor="text1" w:themeTint="FF" w:themeShade="FF"/>
          <w:sz w:val="22"/>
          <w:szCs w:val="22"/>
        </w:rPr>
        <w:t>anticipate</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significant operational disruption, pointing to sustained compliance pressure</w:t>
      </w:r>
    </w:p>
    <w:p xmlns:wp14="http://schemas.microsoft.com/office/word/2010/wordml" w:rsidR="003F03A1" w:rsidP="3AA1DE4A" w:rsidRDefault="003F03A1" w14:paraId="09AFBE8B" wp14:textId="725AE424">
      <w:pPr>
        <w:pStyle w:val="ListParagraph"/>
        <w:numPr>
          <w:ilvl w:val="0"/>
          <w:numId w:val="2"/>
        </w:numPr>
        <w:spacing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Around one-third expect costs to rise by 10-30% in the coming years</w:t>
      </w:r>
    </w:p>
    <w:p xmlns:wp14="http://schemas.microsoft.com/office/word/2010/wordml" w:rsidR="003F03A1" w:rsidP="3AA1DE4A" w:rsidRDefault="003F03A1" w14:paraId="2B11B04B" wp14:textId="6F263320">
      <w:pPr>
        <w:pStyle w:val="ListParagraph"/>
        <w:numPr>
          <w:ilvl w:val="0"/>
          <w:numId w:val="2"/>
        </w:numPr>
        <w:spacing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40%</w:t>
      </w:r>
      <w:r w:rsidRPr="3AA1DE4A" w:rsidR="39BA1EEC">
        <w:rPr>
          <w:rFonts w:ascii="Georgia" w:hAnsi="Georgia" w:eastAsia="Georgia" w:cs="Georgia"/>
          <w:b w:val="1"/>
          <w:bCs w:val="1"/>
          <w:i w:val="0"/>
          <w:iCs w:val="0"/>
          <w:caps w:val="0"/>
          <w:smallCaps w:val="0"/>
          <w:color w:val="000000" w:themeColor="text1" w:themeTint="FF" w:themeShade="FF"/>
          <w:sz w:val="22"/>
          <w:szCs w:val="22"/>
        </w:rPr>
        <w:t xml:space="preserve"> </w:t>
      </w:r>
      <w:r w:rsidRPr="3AA1DE4A" w:rsidR="39BA1EEC">
        <w:rPr>
          <w:rFonts w:ascii="Georgia" w:hAnsi="Georgia" w:eastAsia="Georgia" w:cs="Georgia"/>
          <w:b w:val="0"/>
          <w:bCs w:val="0"/>
          <w:i w:val="0"/>
          <w:iCs w:val="0"/>
          <w:caps w:val="0"/>
          <w:smallCaps w:val="0"/>
          <w:color w:val="000000" w:themeColor="text1" w:themeTint="FF" w:themeShade="FF"/>
          <w:sz w:val="22"/>
          <w:szCs w:val="22"/>
        </w:rPr>
        <w:t>of institutions are concerned that Customer Due Diligence requirements are overly rules</w:t>
      </w:r>
      <w:r>
        <w:noBreakHyphen/>
      </w:r>
      <w:r w:rsidRPr="3AA1DE4A" w:rsidR="39BA1EEC">
        <w:rPr>
          <w:rFonts w:ascii="Georgia" w:hAnsi="Georgia" w:eastAsia="Georgia" w:cs="Georgia"/>
          <w:b w:val="0"/>
          <w:bCs w:val="0"/>
          <w:i w:val="0"/>
          <w:iCs w:val="0"/>
          <w:caps w:val="0"/>
          <w:smallCaps w:val="0"/>
          <w:color w:val="000000" w:themeColor="text1" w:themeTint="FF" w:themeShade="FF"/>
          <w:sz w:val="22"/>
          <w:szCs w:val="22"/>
        </w:rPr>
        <w:t>based, making CDD the key operational bottleneck ahead of July 2027</w:t>
      </w:r>
    </w:p>
    <w:p xmlns:wp14="http://schemas.microsoft.com/office/word/2010/wordml" w:rsidR="003F03A1" w:rsidP="3AA1DE4A" w:rsidRDefault="003F03A1" w14:paraId="2E97FC43" wp14:textId="26962901">
      <w:pPr>
        <w:pStyle w:val="ListParagraph"/>
        <w:numPr>
          <w:ilvl w:val="0"/>
          <w:numId w:val="2"/>
        </w:numPr>
        <w:spacing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Confidence in AML effectiveness </w:t>
      </w:r>
      <w:r w:rsidRPr="3AA1DE4A" w:rsidR="39BA1EEC">
        <w:rPr>
          <w:rFonts w:ascii="Georgia" w:hAnsi="Georgia" w:eastAsia="Georgia" w:cs="Georgia"/>
          <w:b w:val="0"/>
          <w:bCs w:val="0"/>
          <w:i w:val="0"/>
          <w:iCs w:val="0"/>
          <w:caps w:val="0"/>
          <w:smallCaps w:val="0"/>
          <w:color w:val="000000" w:themeColor="text1" w:themeTint="FF" w:themeShade="FF"/>
          <w:sz w:val="22"/>
          <w:szCs w:val="22"/>
        </w:rPr>
        <w:t>remains</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low outside the EU, dropping to just 7% among insurers</w:t>
      </w:r>
    </w:p>
    <w:p xmlns:wp14="http://schemas.microsoft.com/office/word/2010/wordml" w:rsidR="003F03A1" w:rsidP="3AA1DE4A" w:rsidRDefault="003F03A1" w14:paraId="6FF65872" wp14:textId="768441E0">
      <w:pPr>
        <w:pStyle w:val="ListParagraph"/>
        <w:numPr>
          <w:ilvl w:val="0"/>
          <w:numId w:val="2"/>
        </w:numPr>
        <w:spacing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Technology is widely seen as an enabler, with 61% of banks and 57% of AWM firms in the EMEA region planning to introduce </w:t>
      </w:r>
      <w:r w:rsidRPr="3AA1DE4A" w:rsidR="39BA1EEC">
        <w:rPr>
          <w:rFonts w:ascii="Georgia" w:hAnsi="Georgia" w:eastAsia="Georgia" w:cs="Georgia"/>
          <w:b w:val="0"/>
          <w:bCs w:val="0"/>
          <w:i w:val="0"/>
          <w:iCs w:val="0"/>
          <w:caps w:val="0"/>
          <w:smallCaps w:val="0"/>
          <w:color w:val="000000" w:themeColor="text1" w:themeTint="FF" w:themeShade="FF"/>
          <w:sz w:val="22"/>
          <w:szCs w:val="22"/>
        </w:rPr>
        <w:t>new technologies</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in transaction monitoring.</w:t>
      </w:r>
    </w:p>
    <w:p xmlns:wp14="http://schemas.microsoft.com/office/word/2010/wordml" w:rsidR="003F03A1" w:rsidP="3AA1DE4A" w:rsidRDefault="003F03A1" w14:paraId="7F73DBAB" wp14:textId="63B21991">
      <w:pPr>
        <w:pStyle w:val="ListParagraph"/>
        <w:numPr>
          <w:ilvl w:val="0"/>
          <w:numId w:val="2"/>
        </w:numPr>
        <w:spacing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Data quality continues to be viewed as the most important barrier to advanced technology and AI adoption, cited by 89% of electronic and virtual payments firms, 64% of banks and insurance companies, and 52% of AWM firms in the EMEA region</w:t>
      </w:r>
    </w:p>
    <w:p xmlns:wp14="http://schemas.microsoft.com/office/word/2010/wordml" w:rsidR="003F03A1" w:rsidP="3AA1DE4A" w:rsidRDefault="003F03A1" w14:paraId="16E5C933" wp14:textId="42C29A93">
      <w:pPr>
        <w:pStyle w:val="ListParagraph"/>
        <w:spacing w:after="240" w:line="259" w:lineRule="auto"/>
        <w:ind w:left="720"/>
        <w:rPr>
          <w:rFonts w:ascii="Georgia" w:hAnsi="Georgia" w:eastAsia="Georgia" w:cs="Georgia"/>
          <w:b w:val="0"/>
          <w:bCs w:val="0"/>
          <w:i w:val="0"/>
          <w:iCs w:val="0"/>
          <w:caps w:val="0"/>
          <w:smallCaps w:val="0"/>
          <w:color w:val="000000" w:themeColor="text1" w:themeTint="FF" w:themeShade="FF"/>
          <w:sz w:val="22"/>
          <w:szCs w:val="22"/>
        </w:rPr>
      </w:pPr>
    </w:p>
    <w:p xmlns:wp14="http://schemas.microsoft.com/office/word/2010/wordml" w:rsidR="003F03A1" w:rsidP="3AA1DE4A" w:rsidRDefault="003F03A1" w14:paraId="3641F51C" wp14:textId="3706CDDF">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268D6867">
        <w:rPr>
          <w:rFonts w:ascii="Georgia" w:hAnsi="Georgia" w:eastAsia="Georgia" w:cs="Georgia"/>
          <w:b w:val="1"/>
          <w:bCs w:val="1"/>
          <w:i w:val="0"/>
          <w:iCs w:val="0"/>
          <w:caps w:val="0"/>
          <w:smallCaps w:val="0"/>
          <w:color w:val="000000" w:themeColor="text1" w:themeTint="FF" w:themeShade="FF"/>
          <w:sz w:val="22"/>
          <w:szCs w:val="22"/>
        </w:rPr>
        <w:t xml:space="preserve">Press Release, </w:t>
      </w:r>
      <w:r w:rsidRPr="3AA1DE4A" w:rsidR="39BA1EEC">
        <w:rPr>
          <w:rFonts w:ascii="Georgia" w:hAnsi="Georgia" w:eastAsia="Georgia" w:cs="Georgia"/>
          <w:b w:val="1"/>
          <w:bCs w:val="1"/>
          <w:i w:val="0"/>
          <w:iCs w:val="0"/>
          <w:caps w:val="0"/>
          <w:smallCaps w:val="0"/>
          <w:color w:val="000000" w:themeColor="text1" w:themeTint="FF" w:themeShade="FF"/>
          <w:sz w:val="22"/>
          <w:szCs w:val="22"/>
        </w:rPr>
        <w:t>Luxembourg, 21 April 2026</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 Financial institutions across Europe, the Middle East and Africa (EMEA) are </w:t>
      </w:r>
      <w:r w:rsidRPr="3AA1DE4A" w:rsidR="39BA1EEC">
        <w:rPr>
          <w:rFonts w:ascii="Georgia" w:hAnsi="Georgia" w:eastAsia="Georgia" w:cs="Georgia"/>
          <w:b w:val="0"/>
          <w:bCs w:val="0"/>
          <w:i w:val="0"/>
          <w:iCs w:val="0"/>
          <w:caps w:val="0"/>
          <w:smallCaps w:val="0"/>
          <w:color w:val="000000" w:themeColor="text1" w:themeTint="FF" w:themeShade="FF"/>
          <w:sz w:val="22"/>
          <w:szCs w:val="22"/>
        </w:rPr>
        <w:t>generally bracing</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for substantial impacts from anti-money laundering (AML) requirements. More than half are expecting a ‘significant’ (i.e., more than 20% of current AML capacities to meet the requirements) or ‘strong’ (i.e., between 10% to 20% of current AML capacities to meet the requirements) impact in the coming two years,</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according to PwC’s EMEA AML Survey 2026</w:t>
      </w:r>
      <w:r w:rsidRPr="3AA1DE4A" w:rsidR="39BA1EEC">
        <w:rPr>
          <w:rFonts w:ascii="Georgia" w:hAnsi="Georgia" w:eastAsia="Georgia" w:cs="Georgia"/>
          <w:b w:val="0"/>
          <w:bCs w:val="0"/>
          <w:i w:val="0"/>
          <w:iCs w:val="0"/>
          <w:caps w:val="0"/>
          <w:smallCaps w:val="0"/>
          <w:color w:val="000000" w:themeColor="text1" w:themeTint="FF" w:themeShade="FF"/>
          <w:sz w:val="22"/>
          <w:szCs w:val="22"/>
        </w:rPr>
        <w:t>.</w:t>
      </w:r>
    </w:p>
    <w:p xmlns:wp14="http://schemas.microsoft.com/office/word/2010/wordml" w:rsidR="003F03A1" w:rsidP="3AA1DE4A" w:rsidRDefault="003F03A1" w14:paraId="7957BD5B" wp14:textId="6E10445F">
      <w:pPr>
        <w:spacing w:before="240" w:beforeAutospacing="off" w:after="240" w:afterAutospacing="off" w:line="276" w:lineRule="auto"/>
        <w:ind w:left="0" w:right="0"/>
        <w:jc w:val="left"/>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In the EU, preparations for the landmark EU AML Package risk being off track at this stage, with only around one-third expecting to be ready by the July 2027 deadline so far.</w:t>
      </w:r>
    </w:p>
    <w:p xmlns:wp14="http://schemas.microsoft.com/office/word/2010/wordml" w:rsidR="003F03A1" w:rsidP="3AA1DE4A" w:rsidRDefault="003F03A1" w14:paraId="7F87B21A" wp14:textId="031B1215">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As a whole, the</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findings point to a widening readiness gap at a critical moment for the financial sector.</w:t>
      </w:r>
    </w:p>
    <w:p xmlns:wp14="http://schemas.microsoft.com/office/word/2010/wordml" w:rsidR="003F03A1" w:rsidP="3AA1DE4A" w:rsidRDefault="003F03A1" w14:paraId="7A21C5F5" wp14:textId="67403896">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Based on insights from more than 500 institutions across 40 countries, the report highlights a sector under mounting pressure as it prepares for the most significant overhaul of AML regulation in over a decade. While the introduction of a single EU rulebook and the new Anti-Money Laundering Authority (AMLA) mark a step change in regulatory ambition, progress toward compliance </w:t>
      </w:r>
      <w:r w:rsidRPr="3AA1DE4A" w:rsidR="39BA1EEC">
        <w:rPr>
          <w:rFonts w:ascii="Georgia" w:hAnsi="Georgia" w:eastAsia="Georgia" w:cs="Georgia"/>
          <w:b w:val="0"/>
          <w:bCs w:val="0"/>
          <w:i w:val="0"/>
          <w:iCs w:val="0"/>
          <w:caps w:val="0"/>
          <w:smallCaps w:val="0"/>
          <w:color w:val="000000" w:themeColor="text1" w:themeTint="FF" w:themeShade="FF"/>
          <w:sz w:val="22"/>
          <w:szCs w:val="22"/>
        </w:rPr>
        <w:t>remains</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uneven, raising concerns about firms’ ability to meet new requirements on time.</w:t>
      </w:r>
    </w:p>
    <w:p xmlns:wp14="http://schemas.microsoft.com/office/word/2010/wordml" w:rsidR="003F03A1" w:rsidP="3AA1DE4A" w:rsidRDefault="003F03A1" w14:paraId="0081D435" wp14:textId="50B09659">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Operational challenges are already surfacing. Customer due diligence (CDD) has </w:t>
      </w:r>
      <w:r w:rsidRPr="3AA1DE4A" w:rsidR="39BA1EEC">
        <w:rPr>
          <w:rFonts w:ascii="Georgia" w:hAnsi="Georgia" w:eastAsia="Georgia" w:cs="Georgia"/>
          <w:b w:val="0"/>
          <w:bCs w:val="0"/>
          <w:i w:val="0"/>
          <w:iCs w:val="0"/>
          <w:caps w:val="0"/>
          <w:smallCaps w:val="0"/>
          <w:color w:val="000000" w:themeColor="text1" w:themeTint="FF" w:themeShade="FF"/>
          <w:sz w:val="22"/>
          <w:szCs w:val="22"/>
        </w:rPr>
        <w:t>emerged</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as a key pressure point, with expanding data requirements exposing gaps in systems and processes. Around one-third of institutions, whether in or outside of the EU, also expect compliance costs to increase by between 10 and 30 percent, adding further strain on resources.</w:t>
      </w:r>
    </w:p>
    <w:p xmlns:wp14="http://schemas.microsoft.com/office/word/2010/wordml" w:rsidR="003F03A1" w:rsidP="3AA1DE4A" w:rsidRDefault="003F03A1" w14:paraId="7397850A" wp14:textId="1958B125">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Beyond the EU, the picture is </w:t>
      </w:r>
      <w:r w:rsidRPr="3AA1DE4A" w:rsidR="39BA1EEC">
        <w:rPr>
          <w:rFonts w:ascii="Georgia" w:hAnsi="Georgia" w:eastAsia="Georgia" w:cs="Georgia"/>
          <w:b w:val="0"/>
          <w:bCs w:val="0"/>
          <w:i w:val="0"/>
          <w:iCs w:val="0"/>
          <w:caps w:val="0"/>
          <w:smallCaps w:val="0"/>
          <w:color w:val="000000" w:themeColor="text1" w:themeTint="FF" w:themeShade="FF"/>
          <w:sz w:val="22"/>
          <w:szCs w:val="22"/>
        </w:rPr>
        <w:t>starker</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Confidence in the effectiveness of existing AML frameworks is markedly lower outside the bloc, with only 10 to 12 percent of banks and asset managers, and just 7 percent of insurance firms, viewing current rules as fit for purpose. For firms </w:t>
      </w:r>
      <w:r w:rsidRPr="3AA1DE4A" w:rsidR="39BA1EEC">
        <w:rPr>
          <w:rFonts w:ascii="Georgia" w:hAnsi="Georgia" w:eastAsia="Georgia" w:cs="Georgia"/>
          <w:b w:val="0"/>
          <w:bCs w:val="0"/>
          <w:i w:val="0"/>
          <w:iCs w:val="0"/>
          <w:caps w:val="0"/>
          <w:smallCaps w:val="0"/>
          <w:color w:val="000000" w:themeColor="text1" w:themeTint="FF" w:themeShade="FF"/>
          <w:sz w:val="22"/>
          <w:szCs w:val="22"/>
        </w:rPr>
        <w:t>operating</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across multiple </w:t>
      </w:r>
      <w:r w:rsidRPr="3AA1DE4A" w:rsidR="39BA1EEC">
        <w:rPr>
          <w:rFonts w:ascii="Georgia" w:hAnsi="Georgia" w:eastAsia="Georgia" w:cs="Georgia"/>
          <w:b w:val="0"/>
          <w:bCs w:val="0"/>
          <w:i w:val="0"/>
          <w:iCs w:val="0"/>
          <w:caps w:val="0"/>
          <w:smallCaps w:val="0"/>
          <w:color w:val="000000" w:themeColor="text1" w:themeTint="FF" w:themeShade="FF"/>
          <w:sz w:val="22"/>
          <w:szCs w:val="22"/>
        </w:rPr>
        <w:t>jurisdictions</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this divergence creates </w:t>
      </w:r>
      <w:r w:rsidRPr="3AA1DE4A" w:rsidR="39BA1EEC">
        <w:rPr>
          <w:rFonts w:ascii="Georgia" w:hAnsi="Georgia" w:eastAsia="Georgia" w:cs="Georgia"/>
          <w:b w:val="0"/>
          <w:bCs w:val="0"/>
          <w:i w:val="0"/>
          <w:iCs w:val="0"/>
          <w:caps w:val="0"/>
          <w:smallCaps w:val="0"/>
          <w:color w:val="000000" w:themeColor="text1" w:themeTint="FF" w:themeShade="FF"/>
          <w:sz w:val="22"/>
          <w:szCs w:val="22"/>
        </w:rPr>
        <w:t>additional</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compliance gaps at exactly the moment when internal resources are already stretched.</w:t>
      </w:r>
    </w:p>
    <w:p xmlns:wp14="http://schemas.microsoft.com/office/word/2010/wordml" w:rsidR="003F03A1" w:rsidP="3AA1DE4A" w:rsidRDefault="003F03A1" w14:paraId="7C4C0A1D" wp14:textId="6244AE79">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At the same time, many firms expect significant changes to their AML data infrastructure, pointing to the scale of transformation </w:t>
      </w:r>
      <w:r w:rsidRPr="3AA1DE4A" w:rsidR="39BA1EEC">
        <w:rPr>
          <w:rFonts w:ascii="Georgia" w:hAnsi="Georgia" w:eastAsia="Georgia" w:cs="Georgia"/>
          <w:b w:val="0"/>
          <w:bCs w:val="0"/>
          <w:i w:val="0"/>
          <w:iCs w:val="0"/>
          <w:caps w:val="0"/>
          <w:smallCaps w:val="0"/>
          <w:color w:val="000000" w:themeColor="text1" w:themeTint="FF" w:themeShade="FF"/>
          <w:sz w:val="22"/>
          <w:szCs w:val="22"/>
        </w:rPr>
        <w:t>required</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to meet new reporting and monitoring expectations. While investment in AI and advanced analytics is accelerating, adoption </w:t>
      </w:r>
      <w:r w:rsidRPr="3AA1DE4A" w:rsidR="39BA1EEC">
        <w:rPr>
          <w:rFonts w:ascii="Georgia" w:hAnsi="Georgia" w:eastAsia="Georgia" w:cs="Georgia"/>
          <w:b w:val="0"/>
          <w:bCs w:val="0"/>
          <w:i w:val="0"/>
          <w:iCs w:val="0"/>
          <w:caps w:val="0"/>
          <w:smallCaps w:val="0"/>
          <w:color w:val="000000" w:themeColor="text1" w:themeTint="FF" w:themeShade="FF"/>
          <w:sz w:val="22"/>
          <w:szCs w:val="22"/>
        </w:rPr>
        <w:t>remains</w:t>
      </w:r>
      <w:r w:rsidRPr="3AA1DE4A" w:rsidR="39BA1EEC">
        <w:rPr>
          <w:rFonts w:ascii="Georgia" w:hAnsi="Georgia" w:eastAsia="Georgia" w:cs="Georgia"/>
          <w:b w:val="0"/>
          <w:bCs w:val="0"/>
          <w:i w:val="0"/>
          <w:iCs w:val="0"/>
          <w:caps w:val="0"/>
          <w:smallCaps w:val="0"/>
          <w:color w:val="000000" w:themeColor="text1" w:themeTint="FF" w:themeShade="FF"/>
          <w:sz w:val="22"/>
          <w:szCs w:val="22"/>
        </w:rPr>
        <w:t xml:space="preserve"> uneven, with data quality, governance and regulatory uncertainty continuing to act as key constraints.</w:t>
      </w:r>
    </w:p>
    <w:p xmlns:wp14="http://schemas.microsoft.com/office/word/2010/wordml" w:rsidR="003F03A1" w:rsidP="3AA1DE4A" w:rsidRDefault="003F03A1" w14:paraId="39C6FC94" wp14:textId="6718C61D">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hyperlink r:id="Rba8f1978ad504605">
        <w:r w:rsidRPr="3AA1DE4A" w:rsidR="39BA1EEC">
          <w:rPr>
            <w:rStyle w:val="Hyperlink"/>
            <w:rFonts w:ascii="Georgia" w:hAnsi="Georgia" w:eastAsia="Georgia" w:cs="Georgia"/>
            <w:b w:val="1"/>
            <w:bCs w:val="1"/>
            <w:i w:val="0"/>
            <w:iCs w:val="0"/>
            <w:caps w:val="0"/>
            <w:smallCaps w:val="0"/>
            <w:sz w:val="22"/>
            <w:szCs w:val="22"/>
          </w:rPr>
          <w:t>Gianfranco Mautone</w:t>
        </w:r>
      </w:hyperlink>
      <w:r w:rsidRPr="3AA1DE4A" w:rsidR="39BA1EEC">
        <w:rPr>
          <w:rFonts w:ascii="Georgia" w:hAnsi="Georgia" w:eastAsia="Georgia" w:cs="Georgia"/>
          <w:b w:val="1"/>
          <w:bCs w:val="1"/>
          <w:i w:val="0"/>
          <w:iCs w:val="0"/>
          <w:caps w:val="0"/>
          <w:smallCaps w:val="0"/>
          <w:color w:val="000000" w:themeColor="text1" w:themeTint="FF" w:themeShade="FF"/>
          <w:sz w:val="22"/>
          <w:szCs w:val="22"/>
        </w:rPr>
        <w:t>, Partner, EMEA Anti-Financial Crime Leader at PwC Switzerland, co-chair of the EMEA AML Survey:</w:t>
      </w:r>
    </w:p>
    <w:p xmlns:wp14="http://schemas.microsoft.com/office/word/2010/wordml" w:rsidR="003F03A1" w:rsidP="3AA1DE4A" w:rsidRDefault="003F03A1" w14:paraId="181F8C65" wp14:textId="0ED353EF">
      <w:pPr>
        <w:spacing w:before="240" w:after="240" w:line="259" w:lineRule="auto"/>
        <w:rPr>
          <w:rFonts w:ascii="Georgia" w:hAnsi="Georgia" w:eastAsia="Georgia" w:cs="Georgia"/>
          <w:b w:val="0"/>
          <w:bCs w:val="0"/>
          <w:i w:val="0"/>
          <w:iCs w:val="0"/>
          <w:caps w:val="0"/>
          <w:smallCaps w:val="0"/>
          <w:noProof w:val="0"/>
          <w:color w:val="000000" w:themeColor="text1" w:themeTint="FF" w:themeShade="FF"/>
          <w:sz w:val="22"/>
          <w:szCs w:val="22"/>
          <w:lang w:val="en-GB"/>
        </w:rPr>
      </w:pP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 xml:space="preserve">“From a wider EMEA perspective, the gap in supervisory expectations is becoming more pronounced. While the EU is moving toward greater </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harmonisation</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 xml:space="preserve">, many </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neighbouring</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 xml:space="preserve"> </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jurisdictions</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 xml:space="preserve"> are evolving at a different pace, creating significant complexity for cross</w:t>
      </w:r>
      <w:r>
        <w:noBreakHyphen/>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 xml:space="preserve">border institutions. This affects not only compliance, but how firms </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organise</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 xml:space="preserve"> operations, invest in technology, and manage risk across diverse markets. A coordinated approach to data, analytics and governance will be essential for firms that need to </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demonstrate</w:t>
      </w:r>
      <w:r w:rsidRPr="3AA1DE4A" w:rsidR="39BA1EEC">
        <w:rPr>
          <w:rFonts w:ascii="Georgia" w:hAnsi="Georgia" w:eastAsia="Georgia" w:cs="Georgia"/>
          <w:b w:val="0"/>
          <w:bCs w:val="0"/>
          <w:i w:val="1"/>
          <w:iCs w:val="1"/>
          <w:caps w:val="0"/>
          <w:smallCaps w:val="0"/>
          <w:noProof w:val="0"/>
          <w:color w:val="000000" w:themeColor="text1" w:themeTint="FF" w:themeShade="FF"/>
          <w:sz w:val="22"/>
          <w:szCs w:val="22"/>
          <w:lang w:val="en-GB"/>
        </w:rPr>
        <w:t xml:space="preserve"> effectiveness across multiple regulatory environments, not just within the EU.”</w:t>
      </w:r>
    </w:p>
    <w:p xmlns:wp14="http://schemas.microsoft.com/office/word/2010/wordml" w:rsidR="003F03A1" w:rsidP="3AA1DE4A" w:rsidRDefault="003F03A1" w14:paraId="33E87D80" wp14:textId="0063AC80">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hyperlink r:id="R5389ebcac52e4fee">
        <w:r w:rsidRPr="3AA1DE4A" w:rsidR="39BA1EEC">
          <w:rPr>
            <w:rStyle w:val="Hyperlink"/>
            <w:rFonts w:ascii="Georgia" w:hAnsi="Georgia" w:eastAsia="Georgia" w:cs="Georgia"/>
            <w:b w:val="1"/>
            <w:bCs w:val="1"/>
            <w:i w:val="0"/>
            <w:iCs w:val="0"/>
            <w:caps w:val="0"/>
            <w:smallCaps w:val="0"/>
            <w:sz w:val="22"/>
            <w:szCs w:val="22"/>
          </w:rPr>
          <w:t>Michael Weis</w:t>
        </w:r>
      </w:hyperlink>
      <w:r w:rsidRPr="3AA1DE4A" w:rsidR="39BA1EEC">
        <w:rPr>
          <w:rFonts w:ascii="Georgia" w:hAnsi="Georgia" w:eastAsia="Georgia" w:cs="Georgia"/>
          <w:b w:val="1"/>
          <w:bCs w:val="1"/>
          <w:i w:val="0"/>
          <w:iCs w:val="0"/>
          <w:caps w:val="0"/>
          <w:smallCaps w:val="0"/>
          <w:color w:val="000000" w:themeColor="text1" w:themeTint="FF" w:themeShade="FF"/>
          <w:sz w:val="22"/>
          <w:szCs w:val="22"/>
        </w:rPr>
        <w:t>, Anti-Financial Crime Leader at PwC Luxembourg and co-chair of the survey, said:</w:t>
      </w:r>
    </w:p>
    <w:p xmlns:wp14="http://schemas.microsoft.com/office/word/2010/wordml" w:rsidR="003F03A1" w:rsidP="3AA1DE4A" w:rsidRDefault="003F03A1" w14:paraId="54809621" wp14:textId="64CDB07C">
      <w:pPr>
        <w:spacing w:before="240" w:after="240" w:line="259" w:lineRule="auto"/>
        <w:rPr>
          <w:rFonts w:ascii="Georgia" w:hAnsi="Georgia" w:eastAsia="Georgia" w:cs="Georgia"/>
          <w:b w:val="0"/>
          <w:bCs w:val="0"/>
          <w:i w:val="0"/>
          <w:iCs w:val="0"/>
          <w:caps w:val="0"/>
          <w:smallCaps w:val="0"/>
          <w:color w:val="000000" w:themeColor="text1" w:themeTint="FF" w:themeShade="FF"/>
          <w:sz w:val="22"/>
          <w:szCs w:val="22"/>
        </w:rPr>
      </w:pPr>
      <w:r w:rsidRPr="3AA1DE4A" w:rsidR="39BA1EEC">
        <w:rPr>
          <w:rFonts w:ascii="Georgia" w:hAnsi="Georgia" w:eastAsia="Georgia" w:cs="Georgia"/>
          <w:b w:val="0"/>
          <w:bCs w:val="0"/>
          <w:i w:val="1"/>
          <w:iCs w:val="1"/>
          <w:caps w:val="0"/>
          <w:smallCaps w:val="0"/>
          <w:color w:val="000000" w:themeColor="text1" w:themeTint="FF" w:themeShade="FF"/>
          <w:sz w:val="22"/>
          <w:szCs w:val="22"/>
        </w:rPr>
        <w:t xml:space="preserve">“The AML landscape across the EU is entering a new phase, with regulatory ambition accelerating even as firms continue to face operational and data challenges. Our findings show many institutions are still in the </w:t>
      </w:r>
      <w:r w:rsidRPr="3AA1DE4A" w:rsidR="39BA1EEC">
        <w:rPr>
          <w:rFonts w:ascii="Georgia" w:hAnsi="Georgia" w:eastAsia="Georgia" w:cs="Georgia"/>
          <w:b w:val="0"/>
          <w:bCs w:val="0"/>
          <w:i w:val="1"/>
          <w:iCs w:val="1"/>
          <w:caps w:val="0"/>
          <w:smallCaps w:val="0"/>
          <w:color w:val="000000" w:themeColor="text1" w:themeTint="FF" w:themeShade="FF"/>
          <w:sz w:val="22"/>
          <w:szCs w:val="22"/>
        </w:rPr>
        <w:t>early stages</w:t>
      </w:r>
      <w:r w:rsidRPr="3AA1DE4A" w:rsidR="39BA1EEC">
        <w:rPr>
          <w:rFonts w:ascii="Georgia" w:hAnsi="Georgia" w:eastAsia="Georgia" w:cs="Georgia"/>
          <w:b w:val="0"/>
          <w:bCs w:val="0"/>
          <w:i w:val="1"/>
          <w:iCs w:val="1"/>
          <w:caps w:val="0"/>
          <w:smallCaps w:val="0"/>
          <w:color w:val="000000" w:themeColor="text1" w:themeTint="FF" w:themeShade="FF"/>
          <w:sz w:val="22"/>
          <w:szCs w:val="22"/>
        </w:rPr>
        <w:t xml:space="preserve"> of </w:t>
      </w:r>
      <w:r w:rsidRPr="3AA1DE4A" w:rsidR="39BA1EEC">
        <w:rPr>
          <w:rFonts w:ascii="Georgia" w:hAnsi="Georgia" w:eastAsia="Georgia" w:cs="Georgia"/>
          <w:b w:val="0"/>
          <w:bCs w:val="0"/>
          <w:i w:val="1"/>
          <w:iCs w:val="1"/>
          <w:caps w:val="0"/>
          <w:smallCaps w:val="0"/>
          <w:color w:val="000000" w:themeColor="text1" w:themeTint="FF" w:themeShade="FF"/>
          <w:sz w:val="22"/>
          <w:szCs w:val="22"/>
        </w:rPr>
        <w:t>preparing for</w:t>
      </w:r>
      <w:r w:rsidRPr="3AA1DE4A" w:rsidR="39BA1EEC">
        <w:rPr>
          <w:rFonts w:ascii="Georgia" w:hAnsi="Georgia" w:eastAsia="Georgia" w:cs="Georgia"/>
          <w:b w:val="0"/>
          <w:bCs w:val="0"/>
          <w:i w:val="1"/>
          <w:iCs w:val="1"/>
          <w:caps w:val="0"/>
          <w:smallCaps w:val="0"/>
          <w:color w:val="000000" w:themeColor="text1" w:themeTint="FF" w:themeShade="FF"/>
          <w:sz w:val="22"/>
          <w:szCs w:val="22"/>
        </w:rPr>
        <w:t xml:space="preserve"> the EU AML Package, with readiness varying widely across sectors and </w:t>
      </w:r>
      <w:r w:rsidRPr="3AA1DE4A" w:rsidR="39BA1EEC">
        <w:rPr>
          <w:rFonts w:ascii="Georgia" w:hAnsi="Georgia" w:eastAsia="Georgia" w:cs="Georgia"/>
          <w:b w:val="0"/>
          <w:bCs w:val="0"/>
          <w:i w:val="1"/>
          <w:iCs w:val="1"/>
          <w:caps w:val="0"/>
          <w:smallCaps w:val="0"/>
          <w:color w:val="000000" w:themeColor="text1" w:themeTint="FF" w:themeShade="FF"/>
          <w:sz w:val="22"/>
          <w:szCs w:val="22"/>
        </w:rPr>
        <w:t>jurisdictions</w:t>
      </w:r>
      <w:r w:rsidRPr="3AA1DE4A" w:rsidR="39BA1EEC">
        <w:rPr>
          <w:rFonts w:ascii="Georgia" w:hAnsi="Georgia" w:eastAsia="Georgia" w:cs="Georgia"/>
          <w:b w:val="0"/>
          <w:bCs w:val="0"/>
          <w:i w:val="1"/>
          <w:iCs w:val="1"/>
          <w:caps w:val="0"/>
          <w:smallCaps w:val="0"/>
          <w:color w:val="000000" w:themeColor="text1" w:themeTint="FF" w:themeShade="FF"/>
          <w:sz w:val="22"/>
          <w:szCs w:val="22"/>
        </w:rPr>
        <w:t xml:space="preserve">. </w:t>
      </w:r>
      <w:r w:rsidRPr="3AA1DE4A" w:rsidR="39BA1EEC">
        <w:rPr>
          <w:rFonts w:ascii="Georgia" w:hAnsi="Georgia" w:eastAsia="Georgia" w:cs="Georgia"/>
          <w:b w:val="0"/>
          <w:bCs w:val="0"/>
          <w:i w:val="1"/>
          <w:iCs w:val="1"/>
          <w:caps w:val="0"/>
          <w:smallCaps w:val="0"/>
          <w:color w:val="000000" w:themeColor="text1" w:themeTint="FF" w:themeShade="FF"/>
          <w:sz w:val="22"/>
          <w:szCs w:val="22"/>
        </w:rPr>
        <w:t>As implementation advances, the key test will be whether firms can translate the new rulebook and related RTS documents into scalable operating models supported by strong data and technology foundations.”</w:t>
      </w:r>
    </w:p>
    <w:p xmlns:wp14="http://schemas.microsoft.com/office/word/2010/wordml" w:rsidR="003F03A1" w:rsidP="36043292" w:rsidRDefault="003F03A1" w14:paraId="3461D779" wp14:textId="624DB8AE">
      <w:pPr>
        <w:spacing w:before="240" w:after="240" w:line="259" w:lineRule="auto"/>
        <w:rPr>
          <w:rFonts w:ascii="Georgia" w:hAnsi="Georgia" w:eastAsia="Georgia" w:cs="Georgia"/>
          <w:b w:val="1"/>
          <w:bCs w:val="1"/>
          <w:i w:val="0"/>
          <w:iCs w:val="0"/>
          <w:caps w:val="0"/>
          <w:smallCaps w:val="0"/>
          <w:strike w:val="0"/>
          <w:dstrike w:val="0"/>
          <w:sz w:val="22"/>
          <w:szCs w:val="22"/>
          <w:highlight w:val="yellow"/>
        </w:rPr>
      </w:pPr>
      <w:r w:rsidRPr="36043292" w:rsidR="39BA1EEC">
        <w:rPr>
          <w:rFonts w:ascii="Georgia" w:hAnsi="Georgia" w:eastAsia="Georgia" w:cs="Georgia"/>
          <w:b w:val="0"/>
          <w:bCs w:val="0"/>
          <w:i w:val="0"/>
          <w:iCs w:val="0"/>
          <w:caps w:val="0"/>
          <w:smallCaps w:val="0"/>
          <w:color w:val="000000" w:themeColor="text1" w:themeTint="FF" w:themeShade="FF"/>
          <w:sz w:val="22"/>
          <w:szCs w:val="22"/>
        </w:rPr>
        <w:t xml:space="preserve">The full report can be found </w:t>
      </w:r>
      <w:hyperlink r:id="Rf3a0d1edde254462">
        <w:r w:rsidRPr="36043292" w:rsidR="39BA1EEC">
          <w:rPr>
            <w:rStyle w:val="Hyperlink"/>
            <w:rFonts w:ascii="Georgia" w:hAnsi="Georgia" w:eastAsia="Georgia" w:cs="Georgia"/>
            <w:b w:val="0"/>
            <w:bCs w:val="0"/>
            <w:i w:val="0"/>
            <w:iCs w:val="0"/>
            <w:caps w:val="0"/>
            <w:smallCaps w:val="0"/>
            <w:sz w:val="22"/>
            <w:szCs w:val="22"/>
          </w:rPr>
          <w:t>here:</w:t>
        </w:r>
      </w:hyperlink>
      <w:r w:rsidRPr="36043292" w:rsidR="39BA1EEC">
        <w:rPr>
          <w:rFonts w:ascii="Georgia" w:hAnsi="Georgia" w:eastAsia="Georgia" w:cs="Georgia"/>
          <w:b w:val="0"/>
          <w:bCs w:val="0"/>
          <w:i w:val="0"/>
          <w:iCs w:val="0"/>
          <w:caps w:val="0"/>
          <w:smallCaps w:val="0"/>
          <w:color w:val="000000" w:themeColor="text1" w:themeTint="FF" w:themeShade="FF"/>
          <w:sz w:val="22"/>
          <w:szCs w:val="22"/>
        </w:rPr>
        <w:t xml:space="preserve"> </w:t>
      </w:r>
    </w:p>
    <w:p xmlns:wp14="http://schemas.microsoft.com/office/word/2010/wordml" w:rsidR="003F03A1" w:rsidP="3AA1DE4A" w:rsidRDefault="003F03A1" w14:paraId="3CF2D8B6" wp14:textId="77777777">
      <w:pPr>
        <w:pBdr>
          <w:top w:val="nil" w:color="FF000000" w:sz="0" w:space="0"/>
          <w:left w:val="nil" w:color="FF000000" w:sz="0" w:space="0"/>
          <w:bottom w:val="nil" w:color="FF000000" w:sz="0" w:space="0"/>
          <w:right w:val="nil" w:color="FF000000" w:sz="0" w:space="0"/>
          <w:between w:val="nil" w:color="FF000000" w:sz="0" w:space="0"/>
        </w:pBdr>
        <w:spacing w:line="259" w:lineRule="auto"/>
        <w:rPr>
          <w:rFonts w:ascii="Georgia" w:hAnsi="Georgia" w:eastAsia="Georgia" w:cs="Georgia"/>
          <w:b w:val="1"/>
          <w:bCs w:val="1"/>
          <w:color w:val="CC0000"/>
          <w:sz w:val="20"/>
          <w:szCs w:val="20"/>
        </w:rPr>
      </w:pPr>
    </w:p>
    <w:p xmlns:wp14="http://schemas.microsoft.com/office/word/2010/wordml" w:rsidR="003F03A1" w:rsidP="3AA1DE4A" w:rsidRDefault="00742B55" w14:paraId="357E789B" wp14:textId="77777777">
      <w:pPr>
        <w:spacing w:line="276" w:lineRule="auto"/>
        <w:ind w:right="284"/>
        <w:rPr>
          <w:rFonts w:ascii="Georgia" w:hAnsi="Georgia" w:eastAsia="Georgia" w:cs="Georgia"/>
          <w:b w:val="1"/>
          <w:bCs w:val="1"/>
          <w:color w:val="000000"/>
          <w:sz w:val="18"/>
          <w:szCs w:val="18"/>
        </w:rPr>
      </w:pPr>
      <w:r w:rsidRPr="3AA1DE4A" w:rsidR="54FD6DA2">
        <w:rPr>
          <w:rFonts w:ascii="Georgia" w:hAnsi="Georgia" w:eastAsia="Georgia" w:cs="Georgia"/>
          <w:b w:val="1"/>
          <w:bCs w:val="1"/>
          <w:color w:val="000000" w:themeColor="text1" w:themeTint="FF" w:themeShade="FF"/>
          <w:sz w:val="18"/>
          <w:szCs w:val="18"/>
        </w:rPr>
        <w:t>Notes to editors</w:t>
      </w:r>
    </w:p>
    <w:p xmlns:wp14="http://schemas.microsoft.com/office/word/2010/wordml" w:rsidR="003F03A1" w:rsidRDefault="003F03A1" w14:paraId="0FB78278" wp14:textId="77777777">
      <w:pPr>
        <w:spacing w:line="276" w:lineRule="auto"/>
        <w:ind w:right="284"/>
        <w:rPr>
          <w:rFonts w:ascii="Georgia" w:hAnsi="Georgia" w:eastAsia="Georgia" w:cs="Georgia"/>
          <w:color w:val="000000"/>
          <w:sz w:val="18"/>
          <w:szCs w:val="18"/>
        </w:rPr>
      </w:pPr>
    </w:p>
    <w:p xmlns:wp14="http://schemas.microsoft.com/office/word/2010/wordml" w:rsidR="003F03A1" w:rsidP="3AA1DE4A" w:rsidRDefault="00742B55" w14:paraId="03D98014" wp14:textId="77777777">
      <w:pPr>
        <w:spacing w:line="276" w:lineRule="auto"/>
        <w:rPr>
          <w:rFonts w:ascii="Georgia" w:hAnsi="Georgia" w:eastAsia="Georgia" w:cs="Georgia"/>
          <w:b w:val="1"/>
          <w:bCs w:val="1"/>
          <w:color w:val="000000"/>
          <w:sz w:val="18"/>
          <w:szCs w:val="18"/>
          <w:u w:val="single"/>
        </w:rPr>
      </w:pPr>
      <w:r w:rsidRPr="3AA1DE4A" w:rsidR="0593C14D">
        <w:rPr>
          <w:rFonts w:ascii="Georgia" w:hAnsi="Georgia" w:eastAsia="Georgia" w:cs="Georgia"/>
          <w:b w:val="1"/>
          <w:bCs w:val="1"/>
          <w:color w:val="000000" w:themeColor="text1" w:themeTint="FF" w:themeShade="FF"/>
          <w:sz w:val="18"/>
          <w:szCs w:val="18"/>
          <w:u w:val="single"/>
        </w:rPr>
        <w:t>About PwC</w:t>
      </w:r>
    </w:p>
    <w:p xmlns:wp14="http://schemas.microsoft.com/office/word/2010/wordml" w:rsidR="003F03A1" w:rsidP="3AA1DE4A" w:rsidRDefault="003F03A1" w14:paraId="03929A30" wp14:textId="7F5A1C6C">
      <w:pPr>
        <w:spacing w:line="276" w:lineRule="auto"/>
        <w:ind/>
        <w:rPr>
          <w:rFonts w:ascii="Arial" w:hAnsi="Arial" w:eastAsia="Arial" w:cs="Arial"/>
          <w:b w:val="0"/>
          <w:bCs w:val="0"/>
          <w:i w:val="0"/>
          <w:iCs w:val="0"/>
          <w:caps w:val="0"/>
          <w:smallCaps w:val="0"/>
          <w:noProof w:val="0"/>
          <w:color w:val="000000" w:themeColor="text1" w:themeTint="FF" w:themeShade="FF"/>
          <w:sz w:val="20"/>
          <w:szCs w:val="20"/>
          <w:lang w:val="en-US"/>
        </w:rPr>
      </w:pPr>
      <w:r w:rsidRPr="3AA1DE4A" w:rsidR="0C62D1AA">
        <w:rPr>
          <w:rFonts w:ascii="Arial" w:hAnsi="Arial" w:eastAsia="Arial" w:cs="Arial"/>
          <w:b w:val="0"/>
          <w:bCs w:val="0"/>
          <w:i w:val="0"/>
          <w:iCs w:val="0"/>
          <w:caps w:val="0"/>
          <w:smallCaps w:val="0"/>
          <w:color w:val="000000" w:themeColor="text1" w:themeTint="FF" w:themeShade="FF"/>
          <w:sz w:val="20"/>
          <w:szCs w:val="20"/>
        </w:rPr>
        <w:t>PwC Luxembourg (</w:t>
      </w:r>
      <w:hyperlink r:id="Rc66dac9b7c2b46b7">
        <w:r w:rsidRPr="3AA1DE4A" w:rsidR="0C62D1AA">
          <w:rPr>
            <w:rStyle w:val="Hyperlink"/>
            <w:rFonts w:ascii="Arial" w:hAnsi="Arial" w:eastAsia="Arial" w:cs="Arial"/>
            <w:b w:val="0"/>
            <w:bCs w:val="0"/>
            <w:i w:val="0"/>
            <w:iCs w:val="0"/>
            <w:caps w:val="0"/>
            <w:smallCaps w:val="0"/>
            <w:strike w:val="0"/>
            <w:dstrike w:val="0"/>
            <w:sz w:val="20"/>
            <w:szCs w:val="20"/>
          </w:rPr>
          <w:t>www.pwc.lu</w:t>
        </w:r>
      </w:hyperlink>
      <w:r w:rsidRPr="3AA1DE4A" w:rsidR="0C62D1AA">
        <w:rPr>
          <w:rFonts w:ascii="Arial" w:hAnsi="Arial" w:eastAsia="Arial" w:cs="Arial"/>
          <w:b w:val="0"/>
          <w:bCs w:val="0"/>
          <w:i w:val="0"/>
          <w:iCs w:val="0"/>
          <w:caps w:val="0"/>
          <w:smallCaps w:val="0"/>
          <w:color w:val="000000" w:themeColor="text1" w:themeTint="FF" w:themeShade="FF"/>
          <w:sz w:val="20"/>
          <w:szCs w:val="20"/>
        </w:rPr>
        <w:t xml:space="preserve">) is the largest professional services firm in Luxembourg with over 3,800 people employed from 90 different countries. PwC Luxembourg provides audit, tax and advisory services including management consulting, transaction, </w:t>
      </w:r>
      <w:r w:rsidRPr="3AA1DE4A" w:rsidR="0C62D1AA">
        <w:rPr>
          <w:rFonts w:ascii="Arial" w:hAnsi="Arial" w:eastAsia="Arial" w:cs="Arial"/>
          <w:b w:val="0"/>
          <w:bCs w:val="0"/>
          <w:i w:val="0"/>
          <w:iCs w:val="0"/>
          <w:caps w:val="0"/>
          <w:smallCaps w:val="0"/>
          <w:color w:val="000000" w:themeColor="text1" w:themeTint="FF" w:themeShade="FF"/>
          <w:sz w:val="20"/>
          <w:szCs w:val="20"/>
        </w:rPr>
        <w:t>financing</w:t>
      </w:r>
      <w:r w:rsidRPr="3AA1DE4A" w:rsidR="0C62D1AA">
        <w:rPr>
          <w:rFonts w:ascii="Arial" w:hAnsi="Arial" w:eastAsia="Arial" w:cs="Arial"/>
          <w:b w:val="0"/>
          <w:bCs w:val="0"/>
          <w:i w:val="0"/>
          <w:iCs w:val="0"/>
          <w:caps w:val="0"/>
          <w:smallCaps w:val="0"/>
          <w:color w:val="000000" w:themeColor="text1" w:themeTint="FF" w:themeShade="FF"/>
          <w:sz w:val="20"/>
          <w:szCs w:val="20"/>
        </w:rPr>
        <w:t xml:space="preserve"> and regulatory advice. The firm provides advice to a wide variety of clients from local and middle market entrepreneurs to large multinational companies </w:t>
      </w:r>
      <w:r w:rsidRPr="3AA1DE4A" w:rsidR="0C62D1AA">
        <w:rPr>
          <w:rFonts w:ascii="Arial" w:hAnsi="Arial" w:eastAsia="Arial" w:cs="Arial"/>
          <w:b w:val="0"/>
          <w:bCs w:val="0"/>
          <w:i w:val="0"/>
          <w:iCs w:val="0"/>
          <w:caps w:val="0"/>
          <w:smallCaps w:val="0"/>
          <w:color w:val="000000" w:themeColor="text1" w:themeTint="FF" w:themeShade="FF"/>
          <w:sz w:val="20"/>
          <w:szCs w:val="20"/>
        </w:rPr>
        <w:t>operating</w:t>
      </w:r>
      <w:r w:rsidRPr="3AA1DE4A" w:rsidR="0C62D1AA">
        <w:rPr>
          <w:rFonts w:ascii="Arial" w:hAnsi="Arial" w:eastAsia="Arial" w:cs="Arial"/>
          <w:b w:val="0"/>
          <w:bCs w:val="0"/>
          <w:i w:val="0"/>
          <w:iCs w:val="0"/>
          <w:caps w:val="0"/>
          <w:smallCaps w:val="0"/>
          <w:color w:val="000000" w:themeColor="text1" w:themeTint="FF" w:themeShade="FF"/>
          <w:sz w:val="20"/>
          <w:szCs w:val="20"/>
        </w:rPr>
        <w:t xml:space="preserve"> from Luxembourg and the Greater Region. The firm helps its clients create the value they are looking for by contributing to the smooth operation of the capital markets and providing advice through an industry-focused approach.</w:t>
      </w:r>
    </w:p>
    <w:p xmlns:wp14="http://schemas.microsoft.com/office/word/2010/wordml" w:rsidR="003F03A1" w:rsidP="3AA1DE4A" w:rsidRDefault="003F03A1" w14:paraId="5A3E2664" wp14:textId="0EC2BDA7">
      <w:pPr>
        <w:spacing w:line="276" w:lineRule="auto"/>
        <w:ind/>
        <w:rPr>
          <w:rFonts w:ascii="Arial" w:hAnsi="Arial" w:eastAsia="Arial" w:cs="Arial"/>
          <w:b w:val="0"/>
          <w:bCs w:val="0"/>
          <w:i w:val="0"/>
          <w:iCs w:val="0"/>
          <w:caps w:val="0"/>
          <w:smallCaps w:val="0"/>
          <w:noProof w:val="0"/>
          <w:color w:val="000000" w:themeColor="text1" w:themeTint="FF" w:themeShade="FF"/>
          <w:sz w:val="20"/>
          <w:szCs w:val="20"/>
          <w:lang w:val="en-US"/>
        </w:rPr>
      </w:pPr>
    </w:p>
    <w:p xmlns:wp14="http://schemas.microsoft.com/office/word/2010/wordml" w:rsidR="003F03A1" w:rsidP="3AA1DE4A" w:rsidRDefault="003F03A1" w14:paraId="341F4B7D" wp14:textId="03723245">
      <w:pPr>
        <w:pBdr>
          <w:top w:val="nil" w:color="000000" w:sz="0" w:space="0"/>
          <w:left w:val="nil" w:color="000000" w:sz="0" w:space="0"/>
          <w:bottom w:val="nil" w:color="000000" w:sz="0" w:space="0"/>
          <w:right w:val="nil" w:color="000000" w:sz="0" w:space="0"/>
          <w:between w:val="nil" w:color="000000" w:sz="0" w:space="0"/>
        </w:pBdr>
        <w:shd w:val="clear" w:color="auto" w:fill="FFFFFF" w:themeFill="background1"/>
        <w:spacing w:after="0" w:line="240" w:lineRule="auto"/>
        <w:ind/>
        <w:rPr>
          <w:rFonts w:ascii="Georgia" w:hAnsi="Georgia" w:eastAsia="Georgia" w:cs="Georgia"/>
          <w:noProof w:val="0"/>
          <w:sz w:val="18"/>
          <w:szCs w:val="18"/>
          <w:lang w:val="en-US"/>
        </w:rPr>
      </w:pPr>
      <w:r w:rsidRPr="3AA1DE4A" w:rsidR="21FA15FC">
        <w:rPr>
          <w:rFonts w:ascii="Arial" w:hAnsi="Arial" w:eastAsia="Arial" w:cs="Arial"/>
          <w:b w:val="0"/>
          <w:bCs w:val="0"/>
          <w:i w:val="0"/>
          <w:iCs w:val="0"/>
          <w:caps w:val="0"/>
          <w:smallCaps w:val="0"/>
          <w:color w:val="000000" w:themeColor="text1" w:themeTint="FF" w:themeShade="FF"/>
          <w:sz w:val="20"/>
          <w:szCs w:val="20"/>
        </w:rPr>
        <w:t xml:space="preserve">At PwC, we help clients build trust and reinvent so they can turn complexity into competitive advantage. </w:t>
      </w:r>
      <w:r w:rsidRPr="3AA1DE4A" w:rsidR="21FA15FC">
        <w:rPr>
          <w:rFonts w:ascii="Arial" w:hAnsi="Arial" w:eastAsia="Arial" w:cs="Arial"/>
          <w:b w:val="0"/>
          <w:bCs w:val="0"/>
          <w:i w:val="0"/>
          <w:iCs w:val="0"/>
          <w:caps w:val="0"/>
          <w:smallCaps w:val="0"/>
          <w:color w:val="000000" w:themeColor="text1" w:themeTint="FF" w:themeShade="FF"/>
          <w:sz w:val="20"/>
          <w:szCs w:val="20"/>
        </w:rPr>
        <w:t>We’re</w:t>
      </w:r>
      <w:r w:rsidRPr="3AA1DE4A" w:rsidR="21FA15FC">
        <w:rPr>
          <w:rFonts w:ascii="Arial" w:hAnsi="Arial" w:eastAsia="Arial" w:cs="Arial"/>
          <w:b w:val="0"/>
          <w:bCs w:val="0"/>
          <w:i w:val="0"/>
          <w:iCs w:val="0"/>
          <w:caps w:val="0"/>
          <w:smallCaps w:val="0"/>
          <w:color w:val="000000" w:themeColor="text1" w:themeTint="FF" w:themeShade="FF"/>
          <w:sz w:val="20"/>
          <w:szCs w:val="20"/>
        </w:rPr>
        <w:t xml:space="preserve"> a tech-forward, people-empowered network with more than 370,000 people in 149 countries. Across audit and assurance, tax and legal, deals and consulting we help build, </w:t>
      </w:r>
      <w:r w:rsidRPr="3AA1DE4A" w:rsidR="21FA15FC">
        <w:rPr>
          <w:rFonts w:ascii="Arial" w:hAnsi="Arial" w:eastAsia="Arial" w:cs="Arial"/>
          <w:b w:val="0"/>
          <w:bCs w:val="0"/>
          <w:i w:val="0"/>
          <w:iCs w:val="0"/>
          <w:caps w:val="0"/>
          <w:smallCaps w:val="0"/>
          <w:color w:val="000000" w:themeColor="text1" w:themeTint="FF" w:themeShade="FF"/>
          <w:sz w:val="20"/>
          <w:szCs w:val="20"/>
        </w:rPr>
        <w:t>accelerate</w:t>
      </w:r>
      <w:r w:rsidRPr="3AA1DE4A" w:rsidR="21FA15FC">
        <w:rPr>
          <w:rFonts w:ascii="Arial" w:hAnsi="Arial" w:eastAsia="Arial" w:cs="Arial"/>
          <w:b w:val="0"/>
          <w:bCs w:val="0"/>
          <w:i w:val="0"/>
          <w:iCs w:val="0"/>
          <w:caps w:val="0"/>
          <w:smallCaps w:val="0"/>
          <w:color w:val="000000" w:themeColor="text1" w:themeTint="FF" w:themeShade="FF"/>
          <w:sz w:val="20"/>
          <w:szCs w:val="20"/>
        </w:rPr>
        <w:t xml:space="preserve"> and sustain momentum. Find out more at </w:t>
      </w:r>
      <w:hyperlink r:id="R2a49db0025414a84">
        <w:r w:rsidRPr="3AA1DE4A" w:rsidR="21FA15FC">
          <w:rPr>
            <w:rStyle w:val="Hyperlink"/>
            <w:rFonts w:ascii="Arial" w:hAnsi="Arial" w:eastAsia="Arial" w:cs="Arial"/>
            <w:b w:val="0"/>
            <w:bCs w:val="0"/>
            <w:i w:val="0"/>
            <w:iCs w:val="0"/>
            <w:caps w:val="0"/>
            <w:smallCaps w:val="0"/>
            <w:strike w:val="0"/>
            <w:dstrike w:val="0"/>
            <w:sz w:val="20"/>
            <w:szCs w:val="20"/>
          </w:rPr>
          <w:t>www.pwc.com.</w:t>
        </w:r>
      </w:hyperlink>
    </w:p>
    <w:p xmlns:wp14="http://schemas.microsoft.com/office/word/2010/wordml" w:rsidR="003F03A1" w:rsidRDefault="003F03A1" w14:paraId="1FC39945" wp14:textId="419E5A2F">
      <w:pPr>
        <w:spacing w:line="276" w:lineRule="auto"/>
        <w:ind w:right="284"/>
        <w:rPr>
          <w:rFonts w:ascii="Georgia" w:hAnsi="Georgia" w:eastAsia="Georgia" w:cs="Georgia"/>
          <w:color w:val="000000"/>
          <w:sz w:val="18"/>
          <w:szCs w:val="18"/>
        </w:rPr>
      </w:pPr>
    </w:p>
    <w:p xmlns:wp14="http://schemas.microsoft.com/office/word/2010/wordml" w:rsidR="003F03A1" w:rsidRDefault="003F03A1" w14:paraId="34CE0A41" wp14:textId="77777777">
      <w:pPr>
        <w:spacing w:line="276" w:lineRule="auto"/>
        <w:ind w:right="284"/>
        <w:rPr>
          <w:rFonts w:ascii="Georgia" w:hAnsi="Georgia" w:eastAsia="Georgia" w:cs="Georgia"/>
          <w:color w:val="FF0000"/>
          <w:sz w:val="20"/>
          <w:szCs w:val="20"/>
        </w:rPr>
      </w:pPr>
    </w:p>
    <w:p xmlns:wp14="http://schemas.microsoft.com/office/word/2010/wordml" w:rsidR="003F03A1" w:rsidRDefault="003F03A1" w14:paraId="62EBF3C5" wp14:textId="77777777">
      <w:pPr>
        <w:spacing w:line="276" w:lineRule="auto"/>
        <w:jc w:val="center"/>
        <w:rPr>
          <w:rFonts w:ascii="Georgia" w:hAnsi="Georgia" w:eastAsia="Georgia" w:cs="Georgia"/>
          <w:color w:val="FF0000"/>
          <w:sz w:val="20"/>
          <w:szCs w:val="20"/>
        </w:rPr>
      </w:pPr>
    </w:p>
    <w:p xmlns:wp14="http://schemas.microsoft.com/office/word/2010/wordml" w:rsidR="003F03A1" w:rsidRDefault="003F03A1" w14:paraId="6D98A12B" wp14:textId="77777777">
      <w:pPr>
        <w:rPr>
          <w:color w:val="FF0000"/>
        </w:rPr>
      </w:pPr>
    </w:p>
    <w:sectPr w:rsidR="003F03A1">
      <w:headerReference w:type="default" r:id="rId19"/>
      <w:footerReference w:type="default" r:id="rId20"/>
      <w:pgSz w:w="12240" w:h="15840" w:orient="portrait"/>
      <w:pgMar w:top="1440" w:right="1440" w:bottom="1440" w:left="1440" w:header="708" w:footer="708"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742B55" w:rsidRDefault="00742B55" w14:paraId="6B699379" wp14:textId="77777777">
      <w:r>
        <w:separator/>
      </w:r>
    </w:p>
  </w:endnote>
  <w:endnote w:type="continuationSeparator" w:id="0">
    <w:p xmlns:wp14="http://schemas.microsoft.com/office/word/2010/wordml" w:rsidR="00742B55" w:rsidRDefault="00742B55" w14:paraId="3FE9F23F"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7543E4A9-D3D0-408D-B087-E2B6BE716095}" r:id="rId1"/>
    <w:embedBold w:fontKey="{31C29CEA-E20E-44B9-90DD-4846DD9CE241}" r:id="rId2"/>
    <w:embedItalic w:fontKey="{611BB6A0-339D-4422-BAE0-502DB65509BD}" r:id="rId3"/>
    <w:embedBoldItalic w:fontKey="{CD927639-8C25-4B78-A064-8DB684279A96}" r:id="rId4"/>
  </w:font>
  <w:font w:name="Arial Narrow">
    <w:panose1 w:val="020B0606020202030204"/>
    <w:charset w:val="00"/>
    <w:family w:val="swiss"/>
    <w:pitch w:val="variable"/>
    <w:sig w:usb0="00000287" w:usb1="00000800" w:usb2="00000000" w:usb3="00000000" w:csb0="0000009F" w:csb1="00000000"/>
    <w:embedRegular w:fontKey="{0DE38DDB-F962-45C6-A53F-DFAB58011020}" r:id="rId5"/>
    <w:embedBold w:fontKey="{41253BD3-5E4D-4A0F-89D1-109E1C4AE8F5}" r:id="rId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w:fontKey="{0EE7ECCA-D606-46F9-9122-4E458FE8B45A}" r:id="rId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4A811F93-22A0-4076-9681-D6B2A07F0D2E}" r:id="rId8"/>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xmlns:wp14="http://schemas.microsoft.com/office/word/2010/wordml" w:rsidR="003F03A1" w:rsidP="3AA1DE4A" w:rsidRDefault="00742B55" w14:paraId="0FDC7F9C" wp14:textId="77777777">
    <w:pPr>
      <w:pBdr>
        <w:top w:val="nil" w:color="FF000000" w:sz="0" w:space="0"/>
        <w:left w:val="nil" w:color="FF000000" w:sz="0" w:space="0"/>
        <w:bottom w:val="nil" w:color="FF000000" w:sz="0" w:space="0"/>
        <w:right w:val="nil" w:color="FF000000" w:sz="0" w:space="0"/>
        <w:between w:val="nil" w:color="FF000000" w:sz="0" w:space="0"/>
      </w:pBdr>
      <w:rPr>
        <w:rFonts w:ascii="Georgia" w:hAnsi="Georgia" w:eastAsia="Georgia" w:cs="Georgia"/>
        <w:i w:val="1"/>
        <w:iCs w:val="1"/>
        <w:color w:val="000000"/>
        <w:sz w:val="16"/>
        <w:szCs w:val="16"/>
        <w:lang w:val="en-US"/>
      </w:rPr>
    </w:pPr>
    <w:r w:rsidRPr="3AA1DE4A" w:rsidR="3AA1DE4A">
      <w:rPr>
        <w:rFonts w:ascii="Georgia" w:hAnsi="Georgia" w:eastAsia="Georgia" w:cs="Georgia"/>
        <w:i w:val="1"/>
        <w:iCs w:val="1"/>
        <w:color w:val="000000" w:themeColor="text1" w:themeTint="FF" w:themeShade="FF"/>
        <w:sz w:val="16"/>
        <w:szCs w:val="16"/>
        <w:lang w:val="en-US"/>
      </w:rPr>
      <w:t xml:space="preserve">PricewaterhouseCoopers, Société </w:t>
    </w:r>
    <w:r w:rsidRPr="3AA1DE4A" w:rsidR="3AA1DE4A">
      <w:rPr>
        <w:rFonts w:ascii="Georgia" w:hAnsi="Georgia" w:eastAsia="Georgia" w:cs="Georgia"/>
        <w:i w:val="1"/>
        <w:iCs w:val="1"/>
        <w:color w:val="000000" w:themeColor="text1" w:themeTint="FF" w:themeShade="FF"/>
        <w:sz w:val="16"/>
        <w:szCs w:val="16"/>
        <w:lang w:val="en-US"/>
      </w:rPr>
      <w:t>coopérative</w:t>
    </w:r>
    <w:r w:rsidRPr="3AA1DE4A" w:rsidR="3AA1DE4A">
      <w:rPr>
        <w:rFonts w:ascii="Georgia" w:hAnsi="Georgia" w:eastAsia="Georgia" w:cs="Georgia"/>
        <w:i w:val="1"/>
        <w:iCs w:val="1"/>
        <w:color w:val="000000" w:themeColor="text1" w:themeTint="FF" w:themeShade="FF"/>
        <w:sz w:val="16"/>
        <w:szCs w:val="16"/>
        <w:lang w:val="en-US"/>
      </w:rPr>
      <w:t>, 2, rue Gerhard Mercator B.P. 1443 L-1014 Luxembourg</w:t>
    </w:r>
  </w:p>
  <w:p xmlns:wp14="http://schemas.microsoft.com/office/word/2010/wordml" w:rsidR="003F03A1" w:rsidP="3AA1DE4A" w:rsidRDefault="00742B55" w14:paraId="5AD8398B" wp14:textId="77777777">
    <w:pPr>
      <w:pBdr>
        <w:top w:val="nil" w:color="FF000000" w:sz="0" w:space="0"/>
        <w:left w:val="nil" w:color="FF000000" w:sz="0" w:space="0"/>
        <w:bottom w:val="nil" w:color="FF000000" w:sz="0" w:space="0"/>
        <w:right w:val="nil" w:color="FF000000" w:sz="0" w:space="0"/>
        <w:between w:val="nil" w:color="FF000000" w:sz="0" w:space="0"/>
      </w:pBdr>
      <w:rPr>
        <w:rFonts w:ascii="Georgia" w:hAnsi="Georgia" w:eastAsia="Georgia" w:cs="Georgia"/>
        <w:i w:val="1"/>
        <w:iCs w:val="1"/>
        <w:color w:val="000000"/>
        <w:sz w:val="16"/>
        <w:szCs w:val="16"/>
        <w:lang w:val="en-US"/>
      </w:rPr>
    </w:pPr>
    <w:r w:rsidRPr="3AA1DE4A" w:rsidR="3AA1DE4A">
      <w:rPr>
        <w:rFonts w:ascii="Georgia" w:hAnsi="Georgia" w:eastAsia="Georgia" w:cs="Georgia"/>
        <w:i w:val="1"/>
        <w:iCs w:val="1"/>
        <w:color w:val="000000" w:themeColor="text1" w:themeTint="FF" w:themeShade="FF"/>
        <w:sz w:val="16"/>
        <w:szCs w:val="16"/>
        <w:lang w:val="en-US"/>
      </w:rPr>
      <w:t xml:space="preserve">T: +352 494848 1, </w:t>
    </w:r>
    <w:r w:rsidRPr="3AA1DE4A" w:rsidR="3AA1DE4A">
      <w:rPr>
        <w:rFonts w:ascii="Georgia" w:hAnsi="Georgia" w:eastAsia="Georgia" w:cs="Georgia"/>
        <w:i w:val="1"/>
        <w:iCs w:val="1"/>
        <w:color w:val="000000" w:themeColor="text1" w:themeTint="FF" w:themeShade="FF"/>
        <w:sz w:val="16"/>
        <w:szCs w:val="16"/>
        <w:lang w:val="en-US"/>
      </w:rPr>
      <w:t>F:+</w:t>
    </w:r>
    <w:r w:rsidRPr="3AA1DE4A" w:rsidR="3AA1DE4A">
      <w:rPr>
        <w:rFonts w:ascii="Georgia" w:hAnsi="Georgia" w:eastAsia="Georgia" w:cs="Georgia"/>
        <w:i w:val="1"/>
        <w:iCs w:val="1"/>
        <w:color w:val="000000" w:themeColor="text1" w:themeTint="FF" w:themeShade="FF"/>
        <w:sz w:val="16"/>
        <w:szCs w:val="16"/>
        <w:lang w:val="en-US"/>
      </w:rPr>
      <w:t>352 494848 2900, www.pwc.lu</w:t>
    </w:r>
  </w:p>
  <w:p xmlns:wp14="http://schemas.microsoft.com/office/word/2010/wordml" w:rsidR="003F03A1" w:rsidP="3AA1DE4A" w:rsidRDefault="003F03A1" w14:paraId="110FFD37" wp14:textId="77777777">
    <w:pPr>
      <w:pBdr>
        <w:top w:val="nil" w:color="FF000000" w:sz="0" w:space="0"/>
        <w:left w:val="nil" w:color="FF000000" w:sz="0" w:space="0"/>
        <w:bottom w:val="nil" w:color="FF000000" w:sz="0" w:space="0"/>
        <w:right w:val="nil" w:color="FF000000" w:sz="0" w:space="0"/>
        <w:between w:val="nil" w:color="FF000000" w:sz="0" w:space="0"/>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742B55" w:rsidRDefault="00742B55" w14:paraId="2946DB82" wp14:textId="77777777">
      <w:r>
        <w:separator/>
      </w:r>
    </w:p>
  </w:footnote>
  <w:footnote w:type="continuationSeparator" w:id="0">
    <w:p xmlns:wp14="http://schemas.microsoft.com/office/word/2010/wordml" w:rsidR="00742B55" w:rsidRDefault="00742B55" w14:paraId="5997CC1D"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xmlns:wp14="http://schemas.microsoft.com/office/word/2010/wordml" w:rsidR="003F03A1" w:rsidP="3AA1DE4A" w:rsidRDefault="00742B55" w14:paraId="3B5E7304" wp14:textId="0A192592">
    <w:pPr>
      <w:pBdr>
        <w:top w:val="nil" w:color="000000" w:sz="0" w:space="0"/>
        <w:left w:val="nil" w:color="000000" w:sz="0" w:space="0"/>
        <w:bottom w:val="nil" w:color="000000" w:sz="0" w:space="0"/>
        <w:right w:val="nil" w:color="000000" w:sz="0" w:space="0"/>
        <w:between w:val="nil" w:color="000000" w:sz="0" w:space="0"/>
      </w:pBdr>
      <w:tabs>
        <w:tab w:val="center" w:pos="4513"/>
        <w:tab w:val="right" w:pos="9026"/>
      </w:tabs>
      <w:ind w:left="-288"/>
    </w:pPr>
    <w:r w:rsidR="3AA1DE4A">
      <w:drawing>
        <wp:inline xmlns:wp14="http://schemas.microsoft.com/office/word/2010/wordprocessingDrawing" wp14:editId="41DDABD2" wp14:anchorId="75F982F3">
          <wp:extent cx="1090396" cy="702466"/>
          <wp:effectExtent l="0" t="0" r="0" b="0"/>
          <wp:docPr id="104239311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
                  <pic:cNvPicPr/>
                </pic:nvPicPr>
                <pic:blipFill>
                  <a:blip xmlns:r="http://schemas.openxmlformats.org/officeDocument/2006/relationships" r:embed="R88925e938c4f4e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1090396" cy="70246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
    <w:nsid w:val="313e5bf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Figtree" w:hAnsi="Figtree"/>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CBE747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2">
    <w:abstractNumId w:val="1"/>
  </w:num>
  <w:num w:numId="1" w16cid:durableId="1758482464">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03A1"/>
    <w:rsid w:val="003F03A1"/>
    <w:rsid w:val="00693090"/>
    <w:rsid w:val="00742B55"/>
    <w:rsid w:val="01D45892"/>
    <w:rsid w:val="01DAD00A"/>
    <w:rsid w:val="058D0991"/>
    <w:rsid w:val="0593C14D"/>
    <w:rsid w:val="0C62D1AA"/>
    <w:rsid w:val="0C9CA358"/>
    <w:rsid w:val="0CD4BD69"/>
    <w:rsid w:val="0D99F751"/>
    <w:rsid w:val="10F136A4"/>
    <w:rsid w:val="13009CB2"/>
    <w:rsid w:val="1345A919"/>
    <w:rsid w:val="1ED0998B"/>
    <w:rsid w:val="21FA15FC"/>
    <w:rsid w:val="22631693"/>
    <w:rsid w:val="2665AAD0"/>
    <w:rsid w:val="268D6867"/>
    <w:rsid w:val="29CB91B6"/>
    <w:rsid w:val="2A747439"/>
    <w:rsid w:val="2AF6DF5B"/>
    <w:rsid w:val="2C7F0AF8"/>
    <w:rsid w:val="2CF6646A"/>
    <w:rsid w:val="2E789A61"/>
    <w:rsid w:val="36043292"/>
    <w:rsid w:val="3984ED61"/>
    <w:rsid w:val="39BA1EEC"/>
    <w:rsid w:val="3A6202E0"/>
    <w:rsid w:val="3AA1DE4A"/>
    <w:rsid w:val="3CC79E95"/>
    <w:rsid w:val="3DC619A8"/>
    <w:rsid w:val="414A39EA"/>
    <w:rsid w:val="41D30ED0"/>
    <w:rsid w:val="45ED6FC8"/>
    <w:rsid w:val="506F323B"/>
    <w:rsid w:val="51861376"/>
    <w:rsid w:val="54538A27"/>
    <w:rsid w:val="54FD6DA2"/>
    <w:rsid w:val="57860B4D"/>
    <w:rsid w:val="5B6FCC3D"/>
    <w:rsid w:val="5BF48CA1"/>
    <w:rsid w:val="5CD8FC1D"/>
    <w:rsid w:val="5D83C048"/>
    <w:rsid w:val="5FB509A4"/>
    <w:rsid w:val="63C78B50"/>
    <w:rsid w:val="6734B763"/>
    <w:rsid w:val="6A604E66"/>
    <w:rsid w:val="6F6B9BD3"/>
    <w:rsid w:val="76FFFE2A"/>
    <w:rsid w:val="77A2E4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0B3BC84"/>
  <w15:docId w15:val="{B56102AB-69E3-41E1-8121-A84B0EC5BD1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uiPriority w:val="0"/>
    <w:name w:val="Normal"/>
    <w:qFormat/>
    <w:rsid w:val="3AA1DE4A"/>
    <w:rPr>
      <w:noProof w:val="0"/>
      <w:lang w:val="en-GB"/>
    </w:rPr>
  </w:style>
  <w:style w:type="paragraph" w:styleId="Heading1">
    <w:uiPriority w:val="9"/>
    <w:name w:val="heading 1"/>
    <w:basedOn w:val="Normal"/>
    <w:next w:val="Normal"/>
    <w:qFormat/>
    <w:rsid w:val="3AA1DE4A"/>
    <w:rPr>
      <w:b w:val="1"/>
      <w:bCs w:val="1"/>
      <w:sz w:val="48"/>
      <w:szCs w:val="48"/>
    </w:rPr>
    <w:pPr>
      <w:keepNext w:val="1"/>
      <w:keepLines w:val="1"/>
      <w:spacing w:before="480" w:after="120"/>
      <w:outlineLvl w:val="0"/>
    </w:pPr>
  </w:style>
  <w:style w:type="paragraph" w:styleId="Heading2">
    <w:uiPriority w:val="9"/>
    <w:name w:val="heading 2"/>
    <w:basedOn w:val="Normal"/>
    <w:next w:val="Normal"/>
    <w:semiHidden/>
    <w:unhideWhenUsed/>
    <w:qFormat/>
    <w:rsid w:val="3AA1DE4A"/>
    <w:rPr>
      <w:b w:val="1"/>
      <w:bCs w:val="1"/>
      <w:sz w:val="36"/>
      <w:szCs w:val="36"/>
    </w:rPr>
    <w:pPr>
      <w:keepNext w:val="1"/>
      <w:keepLines w:val="1"/>
      <w:spacing w:before="360" w:after="80"/>
      <w:outlineLvl w:val="1"/>
    </w:pPr>
  </w:style>
  <w:style w:type="paragraph" w:styleId="Heading3">
    <w:uiPriority w:val="9"/>
    <w:name w:val="heading 3"/>
    <w:basedOn w:val="Normal"/>
    <w:next w:val="Normal"/>
    <w:semiHidden/>
    <w:unhideWhenUsed/>
    <w:qFormat/>
    <w:rsid w:val="3AA1DE4A"/>
    <w:rPr>
      <w:b w:val="1"/>
      <w:bCs w:val="1"/>
      <w:sz w:val="28"/>
      <w:szCs w:val="28"/>
    </w:rPr>
    <w:pPr>
      <w:keepNext w:val="1"/>
      <w:keepLines w:val="1"/>
      <w:spacing w:before="280" w:after="80"/>
      <w:outlineLvl w:val="2"/>
    </w:pPr>
  </w:style>
  <w:style w:type="paragraph" w:styleId="Heading4">
    <w:uiPriority w:val="9"/>
    <w:name w:val="heading 4"/>
    <w:basedOn w:val="Normal"/>
    <w:next w:val="Normal"/>
    <w:semiHidden/>
    <w:unhideWhenUsed/>
    <w:qFormat/>
    <w:rsid w:val="3AA1DE4A"/>
    <w:rPr>
      <w:b w:val="1"/>
      <w:bCs w:val="1"/>
    </w:rPr>
    <w:pPr>
      <w:keepNext w:val="1"/>
      <w:keepLines w:val="1"/>
      <w:spacing w:before="240" w:after="40"/>
      <w:outlineLvl w:val="3"/>
    </w:pPr>
  </w:style>
  <w:style w:type="paragraph" w:styleId="Heading5">
    <w:uiPriority w:val="9"/>
    <w:name w:val="heading 5"/>
    <w:basedOn w:val="Normal"/>
    <w:next w:val="Normal"/>
    <w:semiHidden/>
    <w:unhideWhenUsed/>
    <w:qFormat/>
    <w:rsid w:val="3AA1DE4A"/>
    <w:rPr>
      <w:b w:val="1"/>
      <w:bCs w:val="1"/>
      <w:sz w:val="22"/>
      <w:szCs w:val="22"/>
    </w:rPr>
    <w:pPr>
      <w:keepNext w:val="1"/>
      <w:keepLines w:val="1"/>
      <w:spacing w:before="220" w:after="40"/>
      <w:outlineLvl w:val="4"/>
    </w:pPr>
  </w:style>
  <w:style w:type="paragraph" w:styleId="Heading6">
    <w:uiPriority w:val="9"/>
    <w:name w:val="heading 6"/>
    <w:basedOn w:val="Normal"/>
    <w:next w:val="Normal"/>
    <w:semiHidden/>
    <w:unhideWhenUsed/>
    <w:qFormat/>
    <w:rsid w:val="3AA1DE4A"/>
    <w:rPr>
      <w:b w:val="1"/>
      <w:bCs w:val="1"/>
      <w:sz w:val="20"/>
      <w:szCs w:val="20"/>
    </w:rPr>
    <w:pPr>
      <w:keepNext w:val="1"/>
      <w:keepLines w:val="1"/>
      <w:spacing w:before="200" w:after="40"/>
      <w:outlineLvl w:val="5"/>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uiPriority w:val="10"/>
    <w:name w:val="Title"/>
    <w:basedOn w:val="Normal"/>
    <w:next w:val="Normal"/>
    <w:qFormat/>
    <w:rsid w:val="3AA1DE4A"/>
    <w:rPr>
      <w:b w:val="1"/>
      <w:bCs w:val="1"/>
      <w:sz w:val="72"/>
      <w:szCs w:val="72"/>
    </w:rPr>
    <w:pPr>
      <w:keepNext w:val="1"/>
      <w:keepLines w:val="1"/>
      <w:spacing w:before="480" w:after="120"/>
    </w:pPr>
  </w:style>
  <w:style w:type="paragraph" w:styleId="Subtitle">
    <w:uiPriority w:val="11"/>
    <w:name w:val="Subtitle"/>
    <w:basedOn w:val="Normal"/>
    <w:next w:val="Normal"/>
    <w:qFormat/>
    <w:rsid w:val="3AA1DE4A"/>
    <w:rPr>
      <w:rFonts w:ascii="Georgia" w:hAnsi="Georgia" w:eastAsia="Georgia" w:cs="Georgia"/>
      <w:i w:val="1"/>
      <w:iCs w:val="1"/>
      <w:color w:val="666666"/>
      <w:sz w:val="48"/>
      <w:szCs w:val="48"/>
    </w:rPr>
    <w:pPr>
      <w:keepNext w:val="1"/>
      <w:keepLines w:val="1"/>
      <w:spacing w:before="360" w:after="80"/>
    </w:pPr>
  </w:style>
  <w:style w:type="table" w:styleId="a" w:customStyle="1">
    <w:basedOn w:val="TableNormal"/>
    <w:tblPr>
      <w:tblStyleRowBandSize w:val="1"/>
      <w:tblStyleColBandSize w:val="1"/>
      <w:tblCellMar>
        <w:left w:w="115" w:type="dxa"/>
        <w:right w:w="115" w:type="dxa"/>
      </w:tblCellMar>
    </w:tbl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w:type="paragraph" w:styleId="ListParagraph">
    <w:uiPriority w:val="34"/>
    <w:name w:val="List Paragraph"/>
    <w:basedOn w:val="Normal"/>
    <w:qFormat/>
    <w:rsid w:val="3AA1DE4A"/>
    <w:pPr>
      <w:spacing/>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header" Target="header1.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theme" Target="theme/theme1.xml" Id="rId22" /><Relationship Type="http://schemas.microsoft.com/office/2011/relationships/people" Target="people.xml" Id="Rcd509e8d387e4de5" /><Relationship Type="http://schemas.microsoft.com/office/2011/relationships/commentsExtended" Target="commentsExtended.xml" Id="Rcba16444f6e14604" /><Relationship Type="http://schemas.microsoft.com/office/2016/09/relationships/commentsIds" Target="commentsIds.xml" Id="R2cb8762d182a406d" /><Relationship Type="http://schemas.openxmlformats.org/officeDocument/2006/relationships/hyperlink" Target="mailto:pauline.andre@pwc.lu" TargetMode="External" Id="R7a04b1a03cdd42a3" /><Relationship Type="http://schemas.openxmlformats.org/officeDocument/2006/relationships/hyperlink" Target="mailto:mary.carey@pwc.lu" TargetMode="External" Id="R9ac6e348da4543e6" /><Relationship Type="http://schemas.openxmlformats.org/officeDocument/2006/relationships/hyperlink" Target="mailto:lu-press@pwc.lu" TargetMode="External" Id="R414e5cfc25884b5a" /><Relationship Type="http://schemas.openxmlformats.org/officeDocument/2006/relationships/hyperlink" Target="http://www.linkedin.com/company/pwc-luxembourg" TargetMode="External" Id="R99bbaa86282b4108" /><Relationship Type="http://schemas.openxmlformats.org/officeDocument/2006/relationships/hyperlink" Target="https://www.linkedin.com/in/gianfrancomautone/" TargetMode="External" Id="Rba8f1978ad504605" /><Relationship Type="http://schemas.openxmlformats.org/officeDocument/2006/relationships/hyperlink" Target="https://www.linkedin.com/in/weismichael/" TargetMode="External" Id="R5389ebcac52e4fee" /><Relationship Type="http://schemas.openxmlformats.org/officeDocument/2006/relationships/hyperlink" Target="https://www.pwc.lu/" TargetMode="External" Id="Rc66dac9b7c2b46b7" /><Relationship Type="http://schemas.openxmlformats.org/officeDocument/2006/relationships/hyperlink" Target="https://www.pwc.com/" TargetMode="External" Id="R2a49db0025414a84" /><Relationship Type="http://schemas.openxmlformats.org/officeDocument/2006/relationships/hyperlink" Target="https://www.pwc.lu/en/financial-crime/anti-money-laundering/emea-aml-survey-2026.html" TargetMode="External" Id="Rf3a0d1edde25446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&#65279;<?xml version="1.0" encoding="utf-8"?><Relationships xmlns="http://schemas.openxmlformats.org/package/2006/relationships"><Relationship Type="http://schemas.openxmlformats.org/officeDocument/2006/relationships/image" Target="/media/image3.png" Id="R88925e938c4f4ec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23f8e49-fc9d-49e2-b820-118b56b49b79">
      <Terms xmlns="http://schemas.microsoft.com/office/infopath/2007/PartnerControls"/>
    </lcf76f155ced4ddcb4097134ff3c332f>
    <TaxCatchAll xmlns="1b5295d8-fa6f-43b3-acde-c72ea88943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C46C0946C364F40B4462CB0E70F89BE" ma:contentTypeVersion="16" ma:contentTypeDescription="Create a new document." ma:contentTypeScope="" ma:versionID="26cad496e51c1e3fb82a2c2c1d8290a3">
  <xsd:schema xmlns:xsd="http://www.w3.org/2001/XMLSchema" xmlns:xs="http://www.w3.org/2001/XMLSchema" xmlns:p="http://schemas.microsoft.com/office/2006/metadata/properties" xmlns:ns2="123f8e49-fc9d-49e2-b820-118b56b49b79" xmlns:ns3="1b5295d8-fa6f-43b3-acde-c72ea88943a2" targetNamespace="http://schemas.microsoft.com/office/2006/metadata/properties" ma:root="true" ma:fieldsID="14c74a138b24bfb024c25f2d49584e39" ns2:_="" ns3:_="">
    <xsd:import namespace="123f8e49-fc9d-49e2-b820-118b56b49b79"/>
    <xsd:import namespace="1b5295d8-fa6f-43b3-acde-c72ea88943a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DateTaken" minOccurs="0"/>
                <xsd:element ref="ns2:MediaServiceSearchProperties"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23f8e49-fc9d-49e2-b820-118b56b49b7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6b3755e-5856-4399-9d86-976471c28120"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b5295d8-fa6f-43b3-acde-c72ea88943a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df4b959e-dc98-49d8-ba77-e1f94e20659d}" ma:internalName="TaxCatchAll" ma:showField="CatchAllData" ma:web="1b5295d8-fa6f-43b3-acde-c72ea88943a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525CF7-0D71-4BBE-99F8-5D1B2D3253E9}">
  <ds:schemaRefs>
    <ds:schemaRef ds:uri="http://schemas.microsoft.com/office/2006/metadata/properties"/>
    <ds:schemaRef ds:uri="http://schemas.microsoft.com/office/infopath/2007/PartnerControls"/>
    <ds:schemaRef ds:uri="123f8e49-fc9d-49e2-b820-118b56b49b79"/>
    <ds:schemaRef ds:uri="1b5295d8-fa6f-43b3-acde-c72ea88943a2"/>
  </ds:schemaRefs>
</ds:datastoreItem>
</file>

<file path=customXml/itemProps2.xml><?xml version="1.0" encoding="utf-8"?>
<ds:datastoreItem xmlns:ds="http://schemas.openxmlformats.org/officeDocument/2006/customXml" ds:itemID="{4BE76910-1ACD-400B-88F1-CC0D71FFCFD4}">
  <ds:schemaRefs>
    <ds:schemaRef ds:uri="http://schemas.microsoft.com/sharepoint/v3/contenttype/forms"/>
  </ds:schemaRefs>
</ds:datastoreItem>
</file>

<file path=customXml/itemProps3.xml><?xml version="1.0" encoding="utf-8"?>
<ds:datastoreItem xmlns:ds="http://schemas.openxmlformats.org/officeDocument/2006/customXml" ds:itemID="{CE5B8152-BCC9-4FF3-9274-A97201B5555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Mary Carey (LU)</lastModifiedBy>
  <revision>15</revision>
  <dcterms:created xsi:type="dcterms:W3CDTF">2024-10-24T07:29:00.0000000Z</dcterms:created>
  <dcterms:modified xsi:type="dcterms:W3CDTF">2026-04-21T09:45:45.4199124Z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0x0101003C46C0946C364F40B4462CB0E70F89BE</vt:lpwstr>
  </property>
  <property fmtid="{D5CDD505-2E9C-101B-9397-08002B2CF9AE}" pid="3" name="MediaServiceImageTags">
    <vt:lpwstr/>
  </property>
  <property fmtid="{D5CDD505-2E9C-101B-9397-08002B2CF9AE}" pid="5" name="docLang">
    <vt:lpwstr>en</vt:lpwstr>
  </property>
</Properties>
</file>